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52" w:rsidRDefault="00B923CD" w:rsidP="007B6E39">
      <w:pPr>
        <w:pStyle w:val="SectionTitle"/>
        <w:spacing w:after="0"/>
        <w:rPr>
          <w:sz w:val="24"/>
          <w:szCs w:val="24"/>
        </w:rPr>
      </w:pPr>
      <w:bookmarkStart w:id="0" w:name="_GoBack"/>
      <w:bookmarkEnd w:id="0"/>
      <w:r>
        <w:rPr>
          <w:b w:val="0"/>
          <w:noProof/>
          <w:lang w:bidi="ar-SA"/>
        </w:rPr>
        <w:drawing>
          <wp:inline distT="0" distB="0" distL="0" distR="0">
            <wp:extent cx="2005965" cy="1405890"/>
            <wp:effectExtent l="0" t="0" r="0" b="3810"/>
            <wp:docPr id="1" name="Picture 1" descr="logo_ce-en-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n-rvb-l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5965" cy="1405890"/>
                    </a:xfrm>
                    <a:prstGeom prst="rect">
                      <a:avLst/>
                    </a:prstGeom>
                    <a:noFill/>
                    <a:ln>
                      <a:noFill/>
                    </a:ln>
                  </pic:spPr>
                </pic:pic>
              </a:graphicData>
            </a:graphic>
          </wp:inline>
        </w:drawing>
      </w:r>
    </w:p>
    <w:p w:rsidR="00327E52" w:rsidRDefault="00327E52" w:rsidP="00EC63C1">
      <w:pPr>
        <w:pStyle w:val="SectionTitle"/>
        <w:keepNext w:val="0"/>
        <w:spacing w:after="0"/>
        <w:rPr>
          <w:sz w:val="24"/>
          <w:szCs w:val="24"/>
        </w:rPr>
      </w:pPr>
    </w:p>
    <w:p w:rsidR="00DF6419" w:rsidRPr="00A57302" w:rsidRDefault="00DF6419" w:rsidP="00DF6419">
      <w:pPr>
        <w:pStyle w:val="SectionTitle"/>
        <w:spacing w:after="0"/>
        <w:rPr>
          <w:rFonts w:ascii="Verdana" w:hAnsi="Verdana"/>
          <w:color w:val="365F91"/>
          <w:sz w:val="24"/>
        </w:rPr>
      </w:pPr>
      <w:r w:rsidRPr="001F2429">
        <w:rPr>
          <w:rFonts w:ascii="Verdana" w:hAnsi="Verdana"/>
          <w:color w:val="365F91"/>
          <w:sz w:val="24"/>
        </w:rPr>
        <w:t xml:space="preserve">ΔΗΜΙΟΥΡΓΙΚΗ ΕΥΡΩΠΗ </w:t>
      </w:r>
      <w:r w:rsidRPr="00A57302">
        <w:rPr>
          <w:rFonts w:ascii="Verdana" w:hAnsi="Verdana"/>
          <w:color w:val="365F91"/>
          <w:sz w:val="24"/>
        </w:rPr>
        <w:t>(2014-2020)</w:t>
      </w:r>
    </w:p>
    <w:p w:rsidR="00DF6419" w:rsidRPr="00A57302" w:rsidRDefault="00DF6419" w:rsidP="00DF6419">
      <w:pPr>
        <w:pStyle w:val="SectionTitle"/>
        <w:spacing w:after="0"/>
        <w:rPr>
          <w:rFonts w:ascii="Verdana" w:hAnsi="Verdana"/>
          <w:color w:val="365F91"/>
          <w:sz w:val="24"/>
        </w:rPr>
      </w:pPr>
    </w:p>
    <w:p w:rsidR="00DF6419" w:rsidRPr="001F2429" w:rsidRDefault="00DF6419" w:rsidP="00DF6419">
      <w:pPr>
        <w:pStyle w:val="SectionTitle"/>
        <w:spacing w:after="0"/>
        <w:rPr>
          <w:rFonts w:ascii="Verdana" w:hAnsi="Verdana"/>
          <w:color w:val="365F91"/>
          <w:sz w:val="24"/>
          <w:szCs w:val="24"/>
        </w:rPr>
      </w:pPr>
      <w:r w:rsidRPr="001F2429">
        <w:rPr>
          <w:rFonts w:ascii="Verdana" w:hAnsi="Verdana"/>
          <w:color w:val="365F91"/>
          <w:sz w:val="24"/>
        </w:rPr>
        <w:t>Υποπρόγραμμα MEDIA</w:t>
      </w:r>
    </w:p>
    <w:p w:rsidR="00DF6419" w:rsidRPr="007B6E39" w:rsidRDefault="00DF6419" w:rsidP="00DF6419">
      <w:pPr>
        <w:pStyle w:val="1"/>
        <w:spacing w:before="0" w:after="0"/>
      </w:pPr>
    </w:p>
    <w:p w:rsidR="00DF6419" w:rsidRDefault="00DF6419" w:rsidP="00DF6419">
      <w:pPr>
        <w:pStyle w:val="SectionTitle"/>
        <w:spacing w:after="0"/>
        <w:rPr>
          <w:sz w:val="24"/>
          <w:szCs w:val="24"/>
        </w:rPr>
      </w:pPr>
      <w:r>
        <w:rPr>
          <w:sz w:val="24"/>
        </w:rPr>
        <w:t xml:space="preserve">Πρόσκληση υποβολής προτάσεων </w:t>
      </w:r>
    </w:p>
    <w:p w:rsidR="00327E52" w:rsidRDefault="00327E52" w:rsidP="00EC63C1">
      <w:pPr>
        <w:pStyle w:val="SectionTitle"/>
        <w:keepNext w:val="0"/>
        <w:spacing w:after="0"/>
        <w:rPr>
          <w:sz w:val="24"/>
          <w:szCs w:val="24"/>
        </w:rPr>
      </w:pPr>
    </w:p>
    <w:p w:rsidR="00327E52" w:rsidRDefault="00327E52" w:rsidP="00EC63C1">
      <w:pPr>
        <w:pStyle w:val="SectionTitle"/>
        <w:keepNext w:val="0"/>
        <w:spacing w:after="0"/>
        <w:rPr>
          <w:sz w:val="24"/>
          <w:szCs w:val="24"/>
        </w:rPr>
      </w:pPr>
    </w:p>
    <w:p w:rsidR="001A3550" w:rsidRPr="00327E52" w:rsidRDefault="005E62A2" w:rsidP="00327E52">
      <w:pPr>
        <w:pStyle w:val="SectionTitle"/>
        <w:spacing w:after="0"/>
        <w:rPr>
          <w:sz w:val="24"/>
          <w:szCs w:val="24"/>
        </w:rPr>
      </w:pPr>
      <w:r>
        <w:rPr>
          <w:sz w:val="24"/>
        </w:rPr>
        <w:t>EACEA/06/2016: Υποστήριξη στον τομέα της κατάρτισης</w:t>
      </w:r>
    </w:p>
    <w:p w:rsidR="00F911A6" w:rsidRDefault="00F911A6" w:rsidP="00980C1E">
      <w:pPr>
        <w:pStyle w:val="Text1"/>
        <w:spacing w:after="0"/>
        <w:ind w:left="0"/>
        <w:rPr>
          <w:sz w:val="22"/>
          <w:szCs w:val="22"/>
        </w:rPr>
      </w:pPr>
    </w:p>
    <w:p w:rsidR="00DF6419" w:rsidRDefault="00DF6419" w:rsidP="00980C1E">
      <w:pPr>
        <w:pStyle w:val="Text1"/>
        <w:spacing w:after="0"/>
        <w:ind w:left="0"/>
        <w:rPr>
          <w:sz w:val="22"/>
          <w:lang w:val="fr-BE"/>
        </w:rPr>
      </w:pPr>
    </w:p>
    <w:p w:rsidR="00DF6419" w:rsidRPr="00985434" w:rsidRDefault="00DF6419" w:rsidP="00DF6419">
      <w:pPr>
        <w:spacing w:after="200" w:line="276" w:lineRule="auto"/>
        <w:jc w:val="both"/>
        <w:rPr>
          <w:rFonts w:ascii="Times New Roman" w:eastAsia="Calibri" w:hAnsi="Times New Roman"/>
          <w:b/>
        </w:rPr>
      </w:pPr>
      <w:r w:rsidRPr="00985434">
        <w:rPr>
          <w:rFonts w:ascii="Times New Roman" w:hAnsi="Times New Roman"/>
          <w:b/>
        </w:rPr>
        <w:t>ΠΡΟΣΟΧΗ:</w:t>
      </w:r>
    </w:p>
    <w:p w:rsidR="00DF6419" w:rsidRPr="00985434" w:rsidRDefault="00DF6419" w:rsidP="00DF6419">
      <w:pPr>
        <w:jc w:val="both"/>
        <w:rPr>
          <w:rFonts w:ascii="Times New Roman" w:hAnsi="Times New Roman"/>
        </w:rPr>
      </w:pPr>
      <w:r w:rsidRPr="00985434">
        <w:rPr>
          <w:rFonts w:ascii="Times New Roman" w:hAnsi="Times New Roman"/>
        </w:rPr>
        <w:t>Η παρούσα πρόσκληση υποβολής προτάσεων εξαρτάται από:</w:t>
      </w:r>
    </w:p>
    <w:p w:rsidR="00DF6419" w:rsidRPr="00985434" w:rsidRDefault="00DF6419" w:rsidP="00DF6419">
      <w:pPr>
        <w:jc w:val="both"/>
        <w:rPr>
          <w:rFonts w:ascii="Times New Roman" w:hAnsi="Times New Roman"/>
        </w:rPr>
      </w:pPr>
      <w:r w:rsidRPr="00985434">
        <w:rPr>
          <w:rFonts w:ascii="Times New Roman" w:hAnsi="Times New Roman"/>
        </w:rPr>
        <w:t xml:space="preserve"> </w:t>
      </w:r>
    </w:p>
    <w:p w:rsidR="00DF6419" w:rsidRPr="00985434" w:rsidRDefault="00DF6419" w:rsidP="00DF6419">
      <w:pPr>
        <w:numPr>
          <w:ilvl w:val="0"/>
          <w:numId w:val="6"/>
        </w:numPr>
        <w:ind w:left="567" w:hanging="567"/>
        <w:jc w:val="both"/>
        <w:rPr>
          <w:rFonts w:ascii="Times New Roman" w:hAnsi="Times New Roman"/>
        </w:rPr>
      </w:pPr>
      <w:r>
        <w:rPr>
          <w:rFonts w:ascii="Times New Roman" w:hAnsi="Times New Roman"/>
        </w:rPr>
        <w:t>τ</w:t>
      </w:r>
      <w:r w:rsidRPr="00985434">
        <w:rPr>
          <w:rFonts w:ascii="Times New Roman" w:hAnsi="Times New Roman"/>
        </w:rPr>
        <w:t>η διαθεσιμότητα των κεφαλαίων μετά την έγκριση του προϋπολογισμού για το 201</w:t>
      </w:r>
      <w:r>
        <w:rPr>
          <w:rFonts w:ascii="Times New Roman" w:hAnsi="Times New Roman"/>
        </w:rPr>
        <w:t>6</w:t>
      </w:r>
      <w:r w:rsidRPr="00985434">
        <w:rPr>
          <w:rFonts w:ascii="Times New Roman" w:hAnsi="Times New Roman"/>
        </w:rPr>
        <w:t xml:space="preserve"> από την αρχή προϋπολογισμού. </w:t>
      </w:r>
    </w:p>
    <w:p w:rsidR="00DF6419" w:rsidRDefault="00DF6419" w:rsidP="00DF6419">
      <w:pPr>
        <w:suppressAutoHyphens/>
        <w:jc w:val="both"/>
        <w:rPr>
          <w:rFonts w:ascii="Times New Roman" w:hAnsi="Times New Roman"/>
          <w:b/>
          <w:smallCaps/>
          <w:sz w:val="24"/>
          <w:szCs w:val="24"/>
        </w:rPr>
      </w:pPr>
    </w:p>
    <w:p w:rsidR="00DF6419" w:rsidRPr="00980C1E" w:rsidRDefault="00DF6419" w:rsidP="00DF6419">
      <w:pPr>
        <w:suppressAutoHyphens/>
        <w:jc w:val="both"/>
        <w:rPr>
          <w:rFonts w:ascii="Times New Roman" w:hAnsi="Times New Roman"/>
          <w:b/>
          <w:smallCaps/>
          <w:sz w:val="24"/>
          <w:szCs w:val="24"/>
        </w:rPr>
      </w:pPr>
    </w:p>
    <w:p w:rsidR="00DF6419" w:rsidRDefault="00DF6419" w:rsidP="00DF6419">
      <w:pPr>
        <w:keepNext/>
        <w:tabs>
          <w:tab w:val="num" w:pos="480"/>
        </w:tabs>
        <w:outlineLvl w:val="0"/>
        <w:rPr>
          <w:rFonts w:ascii="Times New Roman" w:hAnsi="Times New Roman"/>
          <w:b/>
          <w:smallCaps/>
          <w:sz w:val="24"/>
          <w:szCs w:val="24"/>
        </w:rPr>
      </w:pPr>
      <w:r>
        <w:rPr>
          <w:rFonts w:ascii="Times New Roman" w:hAnsi="Times New Roman"/>
          <w:b/>
          <w:smallCaps/>
          <w:sz w:val="24"/>
        </w:rPr>
        <w:t>1.</w:t>
      </w:r>
      <w:r>
        <w:tab/>
      </w:r>
      <w:r>
        <w:rPr>
          <w:rFonts w:ascii="Times New Roman" w:hAnsi="Times New Roman"/>
          <w:b/>
          <w:smallCaps/>
          <w:sz w:val="24"/>
        </w:rPr>
        <w:t>Στόχοι και περιγραφή</w:t>
      </w:r>
    </w:p>
    <w:p w:rsidR="00DF6419" w:rsidRPr="004422D0" w:rsidRDefault="00DF6419" w:rsidP="00DF6419">
      <w:pPr>
        <w:keepNext/>
        <w:tabs>
          <w:tab w:val="num" w:pos="480"/>
        </w:tabs>
        <w:outlineLvl w:val="0"/>
        <w:rPr>
          <w:rFonts w:ascii="Times New Roman" w:hAnsi="Times New Roman"/>
          <w:b/>
          <w:smallCaps/>
          <w:sz w:val="24"/>
          <w:szCs w:val="24"/>
        </w:rPr>
      </w:pPr>
    </w:p>
    <w:p w:rsidR="00DF6419" w:rsidRPr="00DF6419" w:rsidRDefault="00DF6419" w:rsidP="00DF6419">
      <w:pPr>
        <w:spacing w:after="240"/>
        <w:jc w:val="both"/>
        <w:rPr>
          <w:rFonts w:ascii="Times New Roman" w:hAnsi="Times New Roman"/>
        </w:rPr>
      </w:pPr>
      <w:r w:rsidRPr="000800BF">
        <w:rPr>
          <w:rFonts w:ascii="Times New Roman" w:hAnsi="Times New Roman"/>
          <w:szCs w:val="20"/>
        </w:rPr>
        <w:t>Η παρούσα πρόσκληση υποβολής προτάσεων βασίζεται στον κανονισμό αριθ. 1295/2013 του Ευρωπαϊκού Κοινοβουλίου και του Συμβουλίου της 11/12/2013 σχετικά με τη θέσπιση προγράμματος για την υποστήριξη του ευρωπαϊκού πολιτιστικού και δημιουργικού τομέα (πρόγραμμα «ΔΗΜΙΟΥΡΓΙΚΗ ΕΥΡΩΠΗ»)</w:t>
      </w:r>
      <w:r w:rsidRPr="000800BF">
        <w:rPr>
          <w:rFonts w:ascii="Times New Roman" w:hAnsi="Times New Roman"/>
          <w:szCs w:val="20"/>
          <w:vertAlign w:val="superscript"/>
        </w:rPr>
        <w:footnoteReference w:id="2"/>
      </w:r>
      <w:r w:rsidRPr="000800BF">
        <w:rPr>
          <w:rFonts w:ascii="Times New Roman" w:hAnsi="Times New Roman"/>
          <w:szCs w:val="20"/>
        </w:rPr>
        <w:t>και στο διορθωτικό της 27/06/2014</w:t>
      </w:r>
      <w:r w:rsidRPr="000800BF">
        <w:rPr>
          <w:rFonts w:ascii="Times New Roman" w:hAnsi="Times New Roman"/>
          <w:szCs w:val="20"/>
          <w:vertAlign w:val="superscript"/>
        </w:rPr>
        <w:footnoteReference w:id="3"/>
      </w:r>
      <w:r w:rsidRPr="000800BF">
        <w:rPr>
          <w:rFonts w:ascii="Times New Roman" w:hAnsi="Times New Roman"/>
          <w:szCs w:val="20"/>
        </w:rPr>
        <w:t>.</w:t>
      </w:r>
    </w:p>
    <w:p w:rsidR="00316868" w:rsidRDefault="00A110EA" w:rsidP="00980C1E">
      <w:pPr>
        <w:pStyle w:val="Text1"/>
        <w:spacing w:after="0"/>
        <w:ind w:left="0"/>
        <w:rPr>
          <w:sz w:val="22"/>
          <w:szCs w:val="22"/>
        </w:rPr>
      </w:pPr>
      <w:r>
        <w:rPr>
          <w:sz w:val="22"/>
        </w:rPr>
        <w:t>Στο πλαίσιο της ενίσχυσης της ικανότητας του οπτικοακουστικού τομέα, προτεραιότητες του υποπρογράμματος MEDIA είναι:</w:t>
      </w:r>
    </w:p>
    <w:p w:rsidR="00E1253A" w:rsidRDefault="00E1253A" w:rsidP="00E1253A">
      <w:pPr>
        <w:pStyle w:val="PointManual1"/>
        <w:autoSpaceDE w:val="0"/>
        <w:autoSpaceDN w:val="0"/>
        <w:adjustRightInd w:val="0"/>
        <w:spacing w:before="0" w:after="0" w:line="240" w:lineRule="auto"/>
        <w:ind w:left="709" w:firstLine="0"/>
        <w:rPr>
          <w:sz w:val="22"/>
          <w:szCs w:val="22"/>
        </w:rPr>
      </w:pPr>
    </w:p>
    <w:p w:rsidR="006C76A8" w:rsidRPr="00EC63C1" w:rsidRDefault="000749EA" w:rsidP="00EC63C1">
      <w:pPr>
        <w:pStyle w:val="Text1"/>
        <w:numPr>
          <w:ilvl w:val="0"/>
          <w:numId w:val="3"/>
        </w:numPr>
        <w:spacing w:after="0"/>
        <w:ind w:hanging="436"/>
        <w:rPr>
          <w:sz w:val="22"/>
          <w:szCs w:val="22"/>
        </w:rPr>
      </w:pPr>
      <w:r>
        <w:rPr>
          <w:sz w:val="22"/>
        </w:rPr>
        <w:t>η διευκόλυνση της απόκτησης και βελτίωσης των δεξιοτήτων και ικανοτήτων των επαγγελματιών του οπτικοακουστικού τομέα και της ανάπτυξης δικτύων, συμπεριλαμβανομένης της χρήσης των ψηφιακών τεχνολογιών, για να διασφαλιστεί η προσαρμογή στις εξελίξεις της αγοράς, η δοκιμή νέων προσεγγίσεων στην ανάπτυξη ακροατηρίου και η δοκιμή των νέων επιχειρηματικών μοντέλων.</w:t>
      </w:r>
    </w:p>
    <w:p w:rsidR="00E1253A" w:rsidRDefault="00E1253A" w:rsidP="00E1253A">
      <w:pPr>
        <w:pStyle w:val="Text1"/>
        <w:spacing w:after="0"/>
        <w:ind w:left="0"/>
        <w:rPr>
          <w:sz w:val="22"/>
          <w:szCs w:val="22"/>
        </w:rPr>
      </w:pPr>
    </w:p>
    <w:p w:rsidR="000749EA" w:rsidRPr="00DF6419" w:rsidRDefault="000749EA" w:rsidP="00EC63C1">
      <w:pPr>
        <w:pStyle w:val="Text1"/>
        <w:numPr>
          <w:ilvl w:val="0"/>
          <w:numId w:val="3"/>
        </w:numPr>
        <w:spacing w:after="0"/>
        <w:ind w:hanging="436"/>
        <w:rPr>
          <w:sz w:val="22"/>
          <w:szCs w:val="22"/>
        </w:rPr>
      </w:pPr>
      <w:r>
        <w:rPr>
          <w:sz w:val="22"/>
        </w:rPr>
        <w:t>η ανάπτυξη ενός ολοκληρωμένου φάσματος μέτρων κατάρτισης που θα προάγουν την ανάπτυξη και βελτίωση των δεξιοτήτων και ικανοτήτων των επαγγελματιών του οπτικοακουστικού τομέα, την ανταλλαγή γνώσης και τις πρωτοβουλίες δικτύωσης, συμπεριλαμβανομένης της ενσωμάτωσης των ψηφιακών τεχνολογιών.</w:t>
      </w:r>
    </w:p>
    <w:p w:rsidR="00DF6419" w:rsidRDefault="00DF6419" w:rsidP="00DF6419">
      <w:pPr>
        <w:pStyle w:val="Text1"/>
        <w:spacing w:after="0"/>
        <w:rPr>
          <w:sz w:val="22"/>
          <w:lang w:val="fr-BE"/>
        </w:rPr>
      </w:pPr>
    </w:p>
    <w:p w:rsidR="00DF6419" w:rsidRDefault="00DF6419" w:rsidP="00DF6419">
      <w:pPr>
        <w:pStyle w:val="Text1"/>
        <w:spacing w:after="0"/>
        <w:rPr>
          <w:sz w:val="22"/>
          <w:lang w:val="fr-BE"/>
        </w:rPr>
      </w:pPr>
    </w:p>
    <w:p w:rsidR="00DF6419" w:rsidRPr="00DF6419" w:rsidRDefault="00DF6419" w:rsidP="00DF6419">
      <w:pPr>
        <w:pStyle w:val="Text1"/>
        <w:spacing w:after="0"/>
        <w:rPr>
          <w:sz w:val="22"/>
          <w:szCs w:val="22"/>
        </w:rPr>
      </w:pPr>
    </w:p>
    <w:p w:rsidR="00DF6419" w:rsidRDefault="00DF6419" w:rsidP="00DF6419">
      <w:pPr>
        <w:pStyle w:val="Text1"/>
        <w:spacing w:after="0"/>
        <w:ind w:left="0"/>
        <w:rPr>
          <w:sz w:val="22"/>
          <w:lang w:val="fr-BE"/>
        </w:rPr>
      </w:pPr>
    </w:p>
    <w:p w:rsidR="00DF6419" w:rsidRPr="00980C1E" w:rsidRDefault="00DF6419" w:rsidP="00DF6419">
      <w:pPr>
        <w:jc w:val="both"/>
        <w:rPr>
          <w:rFonts w:ascii="Times New Roman" w:hAnsi="Times New Roman"/>
          <w:smallCaps/>
          <w:sz w:val="24"/>
          <w:szCs w:val="24"/>
        </w:rPr>
      </w:pPr>
      <w:r>
        <w:rPr>
          <w:rFonts w:ascii="Times New Roman" w:hAnsi="Times New Roman"/>
          <w:b/>
          <w:sz w:val="24"/>
        </w:rPr>
        <w:lastRenderedPageBreak/>
        <w:t>2.</w:t>
      </w:r>
      <w:r>
        <w:tab/>
      </w:r>
      <w:r>
        <w:rPr>
          <w:rFonts w:ascii="Times New Roman" w:hAnsi="Times New Roman"/>
          <w:b/>
          <w:smallCaps/>
          <w:sz w:val="24"/>
        </w:rPr>
        <w:t>Επιλέξιμοι αιτούντες</w:t>
      </w:r>
    </w:p>
    <w:p w:rsidR="00DF6419" w:rsidRPr="00980C1E" w:rsidRDefault="00DF6419" w:rsidP="00DF6419">
      <w:pPr>
        <w:jc w:val="both"/>
        <w:rPr>
          <w:rFonts w:ascii="Times New Roman" w:hAnsi="Times New Roman"/>
        </w:rPr>
      </w:pPr>
      <w:r>
        <w:tab/>
      </w:r>
    </w:p>
    <w:p w:rsidR="00DF6419" w:rsidRPr="00B46A4A" w:rsidRDefault="00DF6419" w:rsidP="00DF6419">
      <w:pPr>
        <w:jc w:val="both"/>
        <w:rPr>
          <w:rFonts w:ascii="Times New Roman" w:eastAsia="Arial Unicode MS" w:hAnsi="Times New Roman"/>
        </w:rPr>
      </w:pPr>
      <w:r>
        <w:rPr>
          <w:rFonts w:ascii="Times New Roman" w:hAnsi="Times New Roman"/>
        </w:rPr>
        <w:t xml:space="preserve">Οι αιτούντες πρέπει να είναι ευρωπαϊκοί φορείς (ιδιωτικές επιχειρήσεις, μη κερδοσκοπικοί οργανισμοί, ενώσεις, φιλανθρωπικά ιδρύματα, ιδρύματα, δήμοι/δημοτικά συμβούλια, κ.λπ.), να έχουν την έδρα τους σε μία από τις χώρες που συμμετέχουν στο υποπρόγραμμα MEDIA και να τελούν υπό την κυριότητα, είτε άμεσα είτε με πλειοψηφική συμμετοχή, πολιτών από αυτές τις χώρες. </w:t>
      </w:r>
    </w:p>
    <w:p w:rsidR="00DF6419" w:rsidRDefault="00DF6419" w:rsidP="00DF6419">
      <w:pPr>
        <w:spacing w:line="276" w:lineRule="auto"/>
        <w:jc w:val="both"/>
        <w:rPr>
          <w:rFonts w:ascii="Times New Roman" w:eastAsia="Calibri" w:hAnsi="Times New Roman"/>
          <w:noProof/>
        </w:rPr>
      </w:pPr>
    </w:p>
    <w:p w:rsidR="00DF6419" w:rsidRPr="00980C1E" w:rsidRDefault="00DF6419" w:rsidP="00DF6419">
      <w:pPr>
        <w:spacing w:line="276" w:lineRule="auto"/>
        <w:jc w:val="both"/>
        <w:rPr>
          <w:rFonts w:ascii="Times New Roman" w:eastAsia="Calibri" w:hAnsi="Times New Roman"/>
        </w:rPr>
      </w:pPr>
      <w:r>
        <w:rPr>
          <w:rFonts w:ascii="Times New Roman" w:hAnsi="Times New Roman"/>
          <w:noProof/>
        </w:rPr>
        <w:t xml:space="preserve">Οι αιτήσεις από νομικά πρόσωπα εγκατεστημένα σε μία από τις ακόλουθες χώρες είναι επιλέξιμες εφόσον ικανοποιούνται όλες οι προϋποθέσεις που αναφέρονται στο άρθρο 8 του κανονισμού για τη θέσπιση του προγράμματος «Δημιουργική Ευρώπη» και η Επιτροπή έχει αρχίσει διαπραγματεύσεις με τη χώρα: </w:t>
      </w:r>
    </w:p>
    <w:p w:rsidR="00DF6419" w:rsidRPr="00980C1E" w:rsidRDefault="00DF6419" w:rsidP="00DF6419">
      <w:pPr>
        <w:numPr>
          <w:ilvl w:val="0"/>
          <w:numId w:val="5"/>
        </w:numPr>
        <w:spacing w:line="276" w:lineRule="auto"/>
        <w:jc w:val="both"/>
        <w:rPr>
          <w:rFonts w:ascii="Times New Roman" w:eastAsia="Calibri" w:hAnsi="Times New Roman"/>
        </w:rPr>
      </w:pPr>
      <w:r>
        <w:rPr>
          <w:rFonts w:ascii="Times New Roman" w:hAnsi="Times New Roman"/>
        </w:rPr>
        <w:t>κράτη μέλη της ΕΕ·</w:t>
      </w:r>
    </w:p>
    <w:p w:rsidR="00DF6419" w:rsidRPr="00980C1E" w:rsidRDefault="00DF6419" w:rsidP="00DF6419">
      <w:pPr>
        <w:numPr>
          <w:ilvl w:val="0"/>
          <w:numId w:val="5"/>
        </w:numPr>
        <w:spacing w:line="276" w:lineRule="auto"/>
        <w:jc w:val="both"/>
        <w:rPr>
          <w:rFonts w:ascii="Times New Roman" w:eastAsia="Calibri" w:hAnsi="Times New Roman"/>
        </w:rPr>
      </w:pPr>
      <w:r>
        <w:rPr>
          <w:rFonts w:ascii="Times New Roman" w:hAnsi="Times New Roman"/>
        </w:rPr>
        <w:t>προσχωρούσες χώρες, υποψήφιες χώρες και δυνητικά υποψήφιες χώρες για τις οποίες υπάρχει προενταξιακή στρατηγική, σύμφωνα με τις γενικές αρχές και τους γενικούς όρους για τη συμμετοχή των χωρών αυτών στα προγράμματα της Ένωσης, αρχές και όροι που θεσπίζονται στις αντίστοιχες συμφωνίες-πλαίσια, στις αποφάσεις του Συμβουλίου Σύνδεσης ή σε παρόμοιες συμφωνίες·</w:t>
      </w:r>
    </w:p>
    <w:p w:rsidR="00DF6419" w:rsidRPr="00980C1E" w:rsidRDefault="00DF6419" w:rsidP="00DF6419">
      <w:pPr>
        <w:numPr>
          <w:ilvl w:val="0"/>
          <w:numId w:val="5"/>
        </w:numPr>
        <w:spacing w:line="276" w:lineRule="auto"/>
        <w:jc w:val="both"/>
        <w:rPr>
          <w:rFonts w:ascii="Times New Roman" w:eastAsia="Calibri" w:hAnsi="Times New Roman"/>
        </w:rPr>
      </w:pPr>
      <w:r>
        <w:rPr>
          <w:rFonts w:ascii="Times New Roman" w:hAnsi="Times New Roman"/>
        </w:rPr>
        <w:t>χώρες της ΕΖΕΣ που είναι μέλη του ΕΟΧ, σύμφωνα με τις διατάξεις της συμφωνίας ΕΟΧ·</w:t>
      </w:r>
    </w:p>
    <w:p w:rsidR="00DF6419" w:rsidRPr="00980C1E" w:rsidRDefault="00DF6419" w:rsidP="00DF6419">
      <w:pPr>
        <w:numPr>
          <w:ilvl w:val="0"/>
          <w:numId w:val="5"/>
        </w:numPr>
        <w:spacing w:line="276" w:lineRule="auto"/>
        <w:jc w:val="both"/>
        <w:rPr>
          <w:rFonts w:ascii="Times New Roman" w:eastAsia="Calibri" w:hAnsi="Times New Roman"/>
        </w:rPr>
      </w:pPr>
      <w:r>
        <w:rPr>
          <w:rFonts w:ascii="Times New Roman" w:hAnsi="Times New Roman"/>
        </w:rPr>
        <w:t>την Ελβετική Συνομοσπονδία, με βάση διμερή συμφωνία που θα συναφθεί με τη χώρα αυτή·</w:t>
      </w:r>
    </w:p>
    <w:p w:rsidR="00DF6419" w:rsidRPr="00985434" w:rsidRDefault="00DF6419" w:rsidP="00DF6419">
      <w:pPr>
        <w:numPr>
          <w:ilvl w:val="0"/>
          <w:numId w:val="5"/>
        </w:numPr>
        <w:spacing w:line="276" w:lineRule="auto"/>
        <w:jc w:val="both"/>
        <w:rPr>
          <w:rFonts w:ascii="Times New Roman" w:eastAsia="Calibri" w:hAnsi="Times New Roman"/>
        </w:rPr>
      </w:pPr>
      <w:r>
        <w:rPr>
          <w:rFonts w:ascii="Times New Roman" w:hAnsi="Times New Roman"/>
        </w:rPr>
        <w:t>χώρες της Ευρωπαϊκής Πολιτικής Γειτονίας, σύμφωνα με τις διαδικασίες που καθορίζονται με τις εν λόγω χώρες βάσει των συμφωνιών-πλαισίων για τη συμμετοχή τους σε προγράμματα της Ευρωπαϊκής Ένωσης</w:t>
      </w:r>
    </w:p>
    <w:p w:rsidR="00DF6419" w:rsidRDefault="00DF6419" w:rsidP="00DF6419">
      <w:pPr>
        <w:spacing w:line="276" w:lineRule="auto"/>
        <w:jc w:val="both"/>
        <w:rPr>
          <w:rFonts w:ascii="Times New Roman" w:eastAsia="Calibri" w:hAnsi="Times New Roman"/>
        </w:rPr>
      </w:pPr>
    </w:p>
    <w:p w:rsidR="00DF6419" w:rsidRDefault="00DF6419" w:rsidP="00DF6419">
      <w:pPr>
        <w:spacing w:line="276" w:lineRule="auto"/>
        <w:jc w:val="both"/>
        <w:rPr>
          <w:rFonts w:ascii="Times New Roman" w:eastAsia="Calibri" w:hAnsi="Times New Roman"/>
        </w:rPr>
      </w:pPr>
      <w:r w:rsidRPr="00985434">
        <w:rPr>
          <w:rFonts w:ascii="Times New Roman" w:eastAsia="Calibri" w:hAnsi="Times New Roman"/>
        </w:rPr>
        <w:t>Το πρόγραμμα είναι ανοικτό σε δράσεις διμερούς ή πολυμερούς συνεργασίας που απευθύνονται ειδικά σε επιλεγμένες χώρες ή περιφέρειες με βάση συμπληρωματικές πιστώσεις που θα καταβάλλουν αυτές οι χώρες ή περιφέρειες σύμφωνα με ειδικό διακανονισμό που θα συμφωνηθεί με αυτές.</w:t>
      </w:r>
    </w:p>
    <w:p w:rsidR="00DF6419" w:rsidRPr="00985434" w:rsidRDefault="00DF6419" w:rsidP="00DF6419">
      <w:pPr>
        <w:spacing w:line="276" w:lineRule="auto"/>
        <w:jc w:val="both"/>
        <w:rPr>
          <w:rFonts w:ascii="Times New Roman" w:eastAsia="Calibri" w:hAnsi="Times New Roman"/>
        </w:rPr>
      </w:pPr>
    </w:p>
    <w:p w:rsidR="00DF6419" w:rsidRPr="000800BF" w:rsidRDefault="00DF6419" w:rsidP="00DF6419">
      <w:pPr>
        <w:spacing w:line="276" w:lineRule="auto"/>
        <w:jc w:val="both"/>
        <w:rPr>
          <w:rFonts w:ascii="Times New Roman" w:eastAsia="Calibri" w:hAnsi="Times New Roman"/>
        </w:rPr>
      </w:pPr>
      <w:r w:rsidRPr="00985434">
        <w:rPr>
          <w:rFonts w:ascii="Times New Roman" w:eastAsia="Calibri" w:hAnsi="Times New Roman"/>
        </w:rPr>
        <w:t xml:space="preserve">Το πρόγραμμα καθιστά εφικτές τη συνεργασία και τη λήψη κοινών ενεργειών με χώρες που δεν συμμετέχουν στο πρόγραμμα και με διεθνείς οργανισμούς οι οποίοι δραστηριοποιούνται στον πολιτιστικό και τον δημιουργικό τομέα, όπως η </w:t>
      </w:r>
      <w:r w:rsidRPr="00985434">
        <w:rPr>
          <w:rFonts w:ascii="Times New Roman" w:eastAsia="Calibri" w:hAnsi="Times New Roman"/>
          <w:lang w:val="fr-BE"/>
        </w:rPr>
        <w:t>U</w:t>
      </w:r>
      <w:r>
        <w:rPr>
          <w:rFonts w:ascii="Times New Roman" w:eastAsia="Calibri" w:hAnsi="Times New Roman"/>
          <w:lang w:val="en-GB"/>
        </w:rPr>
        <w:t>NESCO</w:t>
      </w:r>
      <w:r w:rsidRPr="00985434">
        <w:rPr>
          <w:rFonts w:ascii="Times New Roman" w:eastAsia="Calibri" w:hAnsi="Times New Roman"/>
        </w:rPr>
        <w:t>, το Συμβούλιο της Ευρώπης, ο Οργανισμός Οικονομικής Συνεργασίας και Ανάπτυξης  ή ο Παγκόσμιος Οργανισμός Διανοητικής Ιδιοκτησίας, βάσει της από κοινού συμβολής τους στην υλοποίηση των στόχων του προγράμματος.</w:t>
      </w:r>
    </w:p>
    <w:p w:rsidR="00DF6419" w:rsidRPr="000800BF" w:rsidRDefault="00DF6419" w:rsidP="00DF6419">
      <w:pPr>
        <w:spacing w:line="276" w:lineRule="auto"/>
        <w:jc w:val="both"/>
        <w:rPr>
          <w:rFonts w:ascii="Times New Roman" w:eastAsia="Calibri" w:hAnsi="Times New Roman"/>
        </w:rPr>
      </w:pPr>
    </w:p>
    <w:p w:rsidR="00DF6419" w:rsidRDefault="00DF6419" w:rsidP="00DF6419">
      <w:pPr>
        <w:spacing w:line="276" w:lineRule="auto"/>
        <w:jc w:val="both"/>
        <w:rPr>
          <w:rFonts w:ascii="Times New Roman" w:eastAsia="Calibri" w:hAnsi="Times New Roman"/>
        </w:rPr>
      </w:pPr>
      <w:r w:rsidRPr="00606ACC">
        <w:rPr>
          <w:rFonts w:ascii="Times New Roman" w:eastAsia="Calibri" w:hAnsi="Times New Roman"/>
        </w:rPr>
        <w:t>Ο Οργανισμ</w:t>
      </w:r>
      <w:r>
        <w:rPr>
          <w:rFonts w:ascii="Times New Roman" w:eastAsia="Calibri" w:hAnsi="Times New Roman"/>
        </w:rPr>
        <w:t>ός δύναται να επιλέξει προτάσεις από υποψηφίους προερχόμενους από χώρες εκτός ΕΕ, υπό τον όρο ότι, κατά την ημερομηνία της απόφασης ανάθεσης, θα έχουν υπογραφτεί συμφωνίες οι οποίες θα καθορίζουν τις ρυθμίσεις για τη συμμετοχή των χωρών αυτών στο πρόγραμμα που θεσπίζεται με τον προαναφερθένται κανονισμό.</w:t>
      </w:r>
    </w:p>
    <w:p w:rsidR="00DF6419" w:rsidRPr="00606ACC" w:rsidRDefault="00DF6419" w:rsidP="00DF6419">
      <w:pPr>
        <w:spacing w:line="276" w:lineRule="auto"/>
        <w:jc w:val="both"/>
        <w:rPr>
          <w:rFonts w:ascii="Times New Roman" w:eastAsia="Calibri" w:hAnsi="Times New Roman"/>
        </w:rPr>
      </w:pPr>
    </w:p>
    <w:p w:rsidR="00DF6419" w:rsidRPr="008A691E" w:rsidRDefault="00DF6419" w:rsidP="00DF6419">
      <w:pPr>
        <w:spacing w:after="200" w:line="276" w:lineRule="auto"/>
        <w:jc w:val="both"/>
        <w:rPr>
          <w:rFonts w:ascii="Times New Roman" w:eastAsia="Calibri" w:hAnsi="Times New Roman"/>
          <w:u w:val="single"/>
        </w:rPr>
      </w:pPr>
      <w:r>
        <w:rPr>
          <w:rFonts w:ascii="Times New Roman" w:hAnsi="Times New Roman"/>
        </w:rPr>
        <w:t>(Επικαιροποιημένος κατάλογος των χωρών οι οποίες πληρούν τις προϋποθέσεις που αναφέρονται στο άρθρο 8 του κανονισμού και βρίσκονται ήδη σε διαπραγματεύσεις με την Επιτροπή διατίθεται στην εξής διεύθυνση:</w:t>
      </w:r>
    </w:p>
    <w:p w:rsidR="00DF6419" w:rsidRPr="008A691E" w:rsidRDefault="00A90FA8" w:rsidP="00DF6419">
      <w:pPr>
        <w:rPr>
          <w:rFonts w:ascii="Times New Roman" w:hAnsi="Times New Roman"/>
          <w:u w:val="single"/>
        </w:rPr>
      </w:pPr>
      <w:hyperlink r:id="rId9">
        <w:r w:rsidR="00DF6419">
          <w:rPr>
            <w:rStyle w:val="-"/>
            <w:rFonts w:ascii="Times New Roman" w:hAnsi="Times New Roman"/>
            <w:color w:val="auto"/>
          </w:rPr>
          <w:t>http://eacea.ec.europa.eu/creative-europe/library/eligibility-organisations-non-eu-countries_en</w:t>
        </w:r>
      </w:hyperlink>
      <w:r w:rsidR="00DF6419">
        <w:rPr>
          <w:rFonts w:ascii="Times New Roman" w:hAnsi="Times New Roman"/>
        </w:rPr>
        <w:t>).</w:t>
      </w:r>
    </w:p>
    <w:p w:rsidR="00DF6419" w:rsidRDefault="00DF6419" w:rsidP="00DF6419">
      <w:pPr>
        <w:spacing w:after="120"/>
        <w:jc w:val="both"/>
        <w:rPr>
          <w:rFonts w:ascii="Times New Roman" w:hAnsi="Times New Roman"/>
        </w:rPr>
      </w:pPr>
    </w:p>
    <w:p w:rsidR="00DF6419" w:rsidRDefault="00DF6419" w:rsidP="00DF6419">
      <w:pPr>
        <w:spacing w:after="120"/>
        <w:jc w:val="both"/>
        <w:rPr>
          <w:rFonts w:ascii="Times New Roman" w:hAnsi="Times New Roman"/>
        </w:rPr>
      </w:pPr>
      <w:r>
        <w:rPr>
          <w:rFonts w:ascii="Times New Roman" w:hAnsi="Times New Roman"/>
        </w:rPr>
        <w:t xml:space="preserve">Φυσικά πρόσωπα </w:t>
      </w:r>
      <w:r w:rsidRPr="00B05AB7">
        <w:rPr>
          <w:rFonts w:ascii="Times New Roman" w:hAnsi="Times New Roman"/>
        </w:rPr>
        <w:t>δεν</w:t>
      </w:r>
      <w:r>
        <w:rPr>
          <w:rFonts w:ascii="Times New Roman" w:hAnsi="Times New Roman"/>
        </w:rPr>
        <w:t xml:space="preserve"> είναι επιλέξιμα για επιχορήγηση.</w:t>
      </w:r>
    </w:p>
    <w:p w:rsidR="00DF6419" w:rsidRPr="000749EA" w:rsidRDefault="00DF6419" w:rsidP="00DF6419">
      <w:pPr>
        <w:pStyle w:val="Text1"/>
        <w:spacing w:after="0"/>
        <w:ind w:left="0"/>
        <w:rPr>
          <w:sz w:val="22"/>
          <w:szCs w:val="22"/>
        </w:rPr>
      </w:pPr>
    </w:p>
    <w:p w:rsidR="00574A1D" w:rsidRPr="00980C1E" w:rsidRDefault="00574A1D" w:rsidP="00980C1E">
      <w:pPr>
        <w:jc w:val="both"/>
        <w:rPr>
          <w:rFonts w:ascii="Times New Roman" w:hAnsi="Times New Roman"/>
        </w:rPr>
      </w:pPr>
    </w:p>
    <w:p w:rsidR="0077737A" w:rsidRPr="00EC63C1" w:rsidRDefault="00C230F3" w:rsidP="00EC63C1">
      <w:pPr>
        <w:pStyle w:val="a9"/>
        <w:numPr>
          <w:ilvl w:val="0"/>
          <w:numId w:val="10"/>
        </w:numPr>
        <w:ind w:hanging="720"/>
        <w:jc w:val="both"/>
        <w:rPr>
          <w:b/>
          <w:smallCaps/>
        </w:rPr>
      </w:pPr>
      <w:r>
        <w:rPr>
          <w:b/>
          <w:smallCaps/>
        </w:rPr>
        <w:t>Επιλέξιμες δράσεις</w:t>
      </w:r>
    </w:p>
    <w:p w:rsidR="0077737A" w:rsidRPr="00980C1E" w:rsidRDefault="0077737A" w:rsidP="00980C1E">
      <w:pPr>
        <w:jc w:val="both"/>
        <w:rPr>
          <w:rFonts w:ascii="Times New Roman" w:hAnsi="Times New Roman"/>
        </w:rPr>
      </w:pPr>
    </w:p>
    <w:p w:rsidR="006771AA" w:rsidRPr="006771AA" w:rsidRDefault="006771AA" w:rsidP="00EC63C1">
      <w:pPr>
        <w:spacing w:after="120"/>
        <w:jc w:val="both"/>
        <w:rPr>
          <w:rFonts w:ascii="Times New Roman" w:eastAsia="Calibri" w:hAnsi="Times New Roman"/>
        </w:rPr>
      </w:pPr>
      <w:r>
        <w:rPr>
          <w:rFonts w:ascii="Times New Roman" w:hAnsi="Times New Roman"/>
        </w:rPr>
        <w:t>Οι αιτήσεις πρέπει να αφορούν δραστηριότητες που στοχεύουν στην ανάπτυξη της ικανότητας των επαγγελματιών του οπτικοακουστικού τομέα να αντιλαμβάνονται και να ενσωματώνουν την ευρωπαϊκή και διεθνή διάσταση στο έργο τους, βελτιώνοντας την εμπειρογνωμοσύνη τους στους ακόλουθους τομείς:</w:t>
      </w:r>
    </w:p>
    <w:p w:rsidR="006771AA" w:rsidRPr="006771AA" w:rsidRDefault="006771AA" w:rsidP="00EC63C1">
      <w:pPr>
        <w:pStyle w:val="Tiretcourt"/>
        <w:numPr>
          <w:ilvl w:val="1"/>
          <w:numId w:val="12"/>
        </w:numPr>
        <w:tabs>
          <w:tab w:val="left" w:pos="284"/>
        </w:tabs>
        <w:ind w:left="0" w:firstLine="0"/>
      </w:pPr>
      <w:r>
        <w:t>Κατάρτιση στην ανάπτυξη ακροατηρίου, στο μάρκετινγκ, στους νέους τρόπους διανομής και εκμετάλλευσης, συμπεριλαμβανομένων όσων βασίζονται στις πιο πρόσφατες ψηφιακές τεχνολογίες</w:t>
      </w:r>
    </w:p>
    <w:p w:rsidR="006771AA" w:rsidRPr="006771AA" w:rsidRDefault="006771AA" w:rsidP="00EC63C1">
      <w:pPr>
        <w:pStyle w:val="Tiretcourt"/>
        <w:numPr>
          <w:ilvl w:val="1"/>
          <w:numId w:val="12"/>
        </w:numPr>
        <w:tabs>
          <w:tab w:val="left" w:pos="284"/>
        </w:tabs>
        <w:ind w:left="0" w:firstLine="0"/>
      </w:pPr>
      <w:r>
        <w:t xml:space="preserve">Κατάρτιση στην οικονομική και εμπορική διαχείριση με στόχο τη διευκόλυνση της πρόσβασης σε χρηματοδότηση και σε νέα επιχειρηματικά μοντέλα </w:t>
      </w:r>
    </w:p>
    <w:p w:rsidR="006771AA" w:rsidRPr="006771AA" w:rsidRDefault="006771AA" w:rsidP="00EC63C1">
      <w:pPr>
        <w:pStyle w:val="Tiretcourt"/>
        <w:numPr>
          <w:ilvl w:val="1"/>
          <w:numId w:val="12"/>
        </w:numPr>
        <w:tabs>
          <w:tab w:val="left" w:pos="284"/>
        </w:tabs>
        <w:ind w:left="0" w:firstLine="0"/>
      </w:pPr>
      <w:r>
        <w:t>Κατάρτιση στην ανάπτυξη και παραγωγή οπτικοακουστικών έργων, συμπεριλαμβανομένων των ικανοτήτων ανταλλαγής γνώσης και δικτύωσης</w:t>
      </w:r>
    </w:p>
    <w:p w:rsidR="00EA2169" w:rsidRDefault="006771AA" w:rsidP="00EC63C1">
      <w:pPr>
        <w:pStyle w:val="Tiretcourt"/>
        <w:numPr>
          <w:ilvl w:val="1"/>
          <w:numId w:val="12"/>
        </w:numPr>
        <w:tabs>
          <w:tab w:val="left" w:pos="284"/>
        </w:tabs>
        <w:ind w:left="0" w:firstLine="0"/>
      </w:pPr>
      <w:r>
        <w:t>Κατάρτιση στην αντιμετώπιση των προκλήσεων της αυξανόμενης χρήσης των ψηφιακών τεχνολογιών ώστε να διασφαλιστεί η προσαρμογή στις εξελίξεις της αγοράς.</w:t>
      </w:r>
    </w:p>
    <w:p w:rsidR="006771AA" w:rsidRPr="006771AA" w:rsidRDefault="006771AA" w:rsidP="00EC63C1">
      <w:pPr>
        <w:jc w:val="both"/>
        <w:rPr>
          <w:rFonts w:ascii="Times New Roman" w:eastAsia="Calibri" w:hAnsi="Times New Roman"/>
        </w:rPr>
      </w:pPr>
      <w:r>
        <w:rPr>
          <w:rFonts w:ascii="Times New Roman" w:hAnsi="Times New Roman"/>
        </w:rPr>
        <w:t>Οι αιτούντες υποβάλουν αίτηση συμμετοχής σε δύο από τις ακόλουθες κατηγορίες των υποστηριζόμενων δράσεων, ανάλογα με την κλίμακα, τις ανάγκες, τους στόχους και τη διεθνή / ευρωπαϊκή διάσταση:</w:t>
      </w:r>
    </w:p>
    <w:p w:rsidR="006771AA" w:rsidRPr="006771AA" w:rsidRDefault="006771AA" w:rsidP="00EC63C1">
      <w:pPr>
        <w:jc w:val="both"/>
        <w:rPr>
          <w:rFonts w:ascii="Times New Roman" w:eastAsia="Calibri" w:hAnsi="Times New Roman"/>
        </w:rPr>
      </w:pPr>
    </w:p>
    <w:p w:rsidR="006771AA" w:rsidRPr="006771AA" w:rsidRDefault="006771AA" w:rsidP="00EC63C1">
      <w:pPr>
        <w:pStyle w:val="ListNumber1"/>
        <w:numPr>
          <w:ilvl w:val="0"/>
          <w:numId w:val="13"/>
        </w:numPr>
        <w:ind w:hanging="720"/>
      </w:pPr>
      <w:r>
        <w:t>Ευρωπαϊκές δράσεις: δράσεις που στοχεύουν στην απόκτηση και στη βελτίωση δεξιοτήτων και ικανοτήτων των επαγγελματιών που δραστηριοποιούνται κυρίως στην Ευρώπη</w:t>
      </w:r>
    </w:p>
    <w:p w:rsidR="006771AA" w:rsidRPr="006771AA" w:rsidRDefault="006771AA" w:rsidP="00EC63C1">
      <w:pPr>
        <w:pStyle w:val="ListNumber1"/>
      </w:pPr>
    </w:p>
    <w:p w:rsidR="006771AA" w:rsidRDefault="006771AA" w:rsidP="00EC63C1">
      <w:pPr>
        <w:pStyle w:val="ListNumber1"/>
        <w:numPr>
          <w:ilvl w:val="0"/>
          <w:numId w:val="13"/>
        </w:numPr>
        <w:ind w:hanging="720"/>
      </w:pPr>
      <w:r>
        <w:t>Διεθνείς δράσεις: δράσεις που στοχεύουν στην απόκτηση εμπειρογνωμοσύνης, γνώσης και ικανοτήτων για ευρωπαίους επαγγελματίες που δραστηριοποιούνται εκτός Ευρώπης μέσω δικτύωσης και συνεργασίας με μη ευρωπαίους επαγγελματίες.</w:t>
      </w:r>
    </w:p>
    <w:p w:rsidR="006771AA" w:rsidRPr="006771AA" w:rsidRDefault="006771AA" w:rsidP="00EC63C1">
      <w:pPr>
        <w:jc w:val="both"/>
        <w:rPr>
          <w:rFonts w:ascii="Times New Roman" w:hAnsi="Times New Roman"/>
          <w:bCs/>
        </w:rPr>
      </w:pPr>
    </w:p>
    <w:p w:rsidR="006771AA" w:rsidRPr="006771AA" w:rsidRDefault="006771AA" w:rsidP="00EC63C1">
      <w:pPr>
        <w:spacing w:before="120" w:after="120"/>
        <w:jc w:val="both"/>
        <w:rPr>
          <w:rFonts w:ascii="Times New Roman" w:hAnsi="Times New Roman"/>
          <w:bCs/>
        </w:rPr>
      </w:pPr>
      <w:r>
        <w:rPr>
          <w:rFonts w:ascii="Times New Roman" w:hAnsi="Times New Roman"/>
        </w:rPr>
        <w:t>Στο πλαίσιο της παρούσας πρόσκλησης υποβολής προτάσεων, ο αιτών υποβάλλει πρόταση με στόχο τη σύναψη διετούς εταιρικής σχέσης με το υποπρόγραμμα MEDIA μέσω ενός συμβατικού μέσου που ονομάζεται συμφωνία-πλαίσιο σύμπραξης (FPA).</w:t>
      </w:r>
    </w:p>
    <w:p w:rsidR="0062603B" w:rsidRDefault="00443E8A" w:rsidP="00CC7A53">
      <w:pPr>
        <w:jc w:val="both"/>
        <w:rPr>
          <w:rFonts w:ascii="Times New Roman" w:hAnsi="Times New Roman"/>
        </w:rPr>
      </w:pPr>
      <w:r>
        <w:rPr>
          <w:rFonts w:ascii="Times New Roman" w:hAnsi="Times New Roman"/>
        </w:rPr>
        <w:t>Για τον πρώτο χρόνο της διετούς FPA, η δράση πρέπει να ξεκινήσει μεταξύ 01/09/2016 και 31/08/2017.</w:t>
      </w:r>
    </w:p>
    <w:p w:rsidR="0062603B" w:rsidRPr="00980C1E" w:rsidRDefault="0062603B" w:rsidP="00CC7A53">
      <w:pPr>
        <w:jc w:val="both"/>
        <w:rPr>
          <w:rFonts w:ascii="Times New Roman" w:hAnsi="Times New Roman"/>
        </w:rPr>
      </w:pPr>
    </w:p>
    <w:p w:rsidR="00F3710E" w:rsidRPr="00F3710E" w:rsidRDefault="00CC7A53" w:rsidP="00EC63C1">
      <w:pPr>
        <w:jc w:val="both"/>
        <w:rPr>
          <w:rFonts w:ascii="Times New Roman" w:hAnsi="Times New Roman"/>
        </w:rPr>
      </w:pPr>
      <w:r>
        <w:rPr>
          <w:rFonts w:ascii="Times New Roman" w:hAnsi="Times New Roman"/>
        </w:rPr>
        <w:t xml:space="preserve">Η μέγιστη διάρκεια της δράσης είναι 12 μήνες. Χορηγείται κατά το μέγιστο παράταση 6 ακόμη μηνών, εφόσον ζητηθεί πριν από την καταληκτική ημερομηνία που ορίζεται στη συμφωνία. Σε κάθε περίπτωση, η μέγιστη διάρκεια είναι 18 μήνες. </w:t>
      </w:r>
    </w:p>
    <w:p w:rsidR="00354184" w:rsidRPr="00980C1E" w:rsidRDefault="00354184" w:rsidP="00EC63C1">
      <w:pPr>
        <w:jc w:val="both"/>
        <w:rPr>
          <w:rFonts w:ascii="Times New Roman" w:hAnsi="Times New Roman"/>
        </w:rPr>
      </w:pPr>
    </w:p>
    <w:p w:rsidR="00EA2169" w:rsidRPr="00980C1E" w:rsidRDefault="00C230F3" w:rsidP="00EC63C1">
      <w:pPr>
        <w:pStyle w:val="a9"/>
        <w:numPr>
          <w:ilvl w:val="0"/>
          <w:numId w:val="10"/>
        </w:numPr>
        <w:ind w:hanging="720"/>
        <w:jc w:val="both"/>
        <w:rPr>
          <w:b/>
          <w:smallCaps/>
        </w:rPr>
      </w:pPr>
      <w:r>
        <w:rPr>
          <w:b/>
          <w:smallCaps/>
        </w:rPr>
        <w:t>Κριτήρια ανάθεσης</w:t>
      </w:r>
    </w:p>
    <w:p w:rsidR="00EA2169" w:rsidRPr="00980C1E" w:rsidRDefault="00EA2169" w:rsidP="00EC63C1">
      <w:pPr>
        <w:jc w:val="both"/>
        <w:rPr>
          <w:rFonts w:ascii="Times New Roman" w:hAnsi="Times New Roman"/>
        </w:rPr>
      </w:pPr>
    </w:p>
    <w:p w:rsidR="002707DD" w:rsidRDefault="00980F61" w:rsidP="00EC63C1">
      <w:pPr>
        <w:pStyle w:val="Text1"/>
        <w:spacing w:after="0"/>
        <w:ind w:left="0"/>
        <w:rPr>
          <w:sz w:val="22"/>
          <w:szCs w:val="22"/>
        </w:rPr>
      </w:pPr>
      <w:r>
        <w:rPr>
          <w:sz w:val="22"/>
        </w:rPr>
        <w:t>Οι επιλέξιμες αιτήσεις θα αξιολογούνται βάσει βαθμολογίας με μέγιστο το 100, σύμφωνα με τα ακόλουθα κριτήρια και συντελεστές βαρύτητας:</w:t>
      </w:r>
    </w:p>
    <w:p w:rsidR="00E978E9" w:rsidRPr="00980C1E" w:rsidRDefault="00E978E9" w:rsidP="00EC63C1">
      <w:pPr>
        <w:pStyle w:val="Text1"/>
        <w:spacing w:after="0"/>
        <w:ind w:left="0"/>
        <w:jc w:val="left"/>
        <w:rPr>
          <w:sz w:val="22"/>
          <w:szCs w:val="22"/>
        </w:rPr>
      </w:pPr>
    </w:p>
    <w:p w:rsidR="0098410E" w:rsidRPr="00980C1E" w:rsidRDefault="0098410E" w:rsidP="00EC63C1">
      <w:pPr>
        <w:pStyle w:val="Text1"/>
        <w:spacing w:after="120"/>
        <w:ind w:left="0"/>
        <w:rPr>
          <w:spacing w:val="-3"/>
          <w:sz w:val="22"/>
          <w:szCs w:val="22"/>
        </w:rPr>
      </w:pPr>
      <w:r>
        <w:rPr>
          <w:spacing w:val="-3"/>
          <w:sz w:val="22"/>
        </w:rPr>
        <w:t>Συνάφεια και ευρωπαϊκή προστιθέμενη αξία (30 μονάδες)</w:t>
      </w:r>
    </w:p>
    <w:p w:rsidR="00443E8A" w:rsidRPr="00EC63C1" w:rsidRDefault="00443E8A" w:rsidP="00EC63C1">
      <w:pPr>
        <w:pStyle w:val="Text1"/>
        <w:numPr>
          <w:ilvl w:val="0"/>
          <w:numId w:val="3"/>
        </w:numPr>
        <w:spacing w:after="0"/>
        <w:ind w:hanging="436"/>
        <w:rPr>
          <w:spacing w:val="-5"/>
          <w:sz w:val="22"/>
          <w:szCs w:val="22"/>
        </w:rPr>
      </w:pPr>
      <w:r>
        <w:rPr>
          <w:sz w:val="22"/>
        </w:rPr>
        <w:t>Συνάφεια του περιεχομένου της δραστηριότητας, για παράδειγμα η διεθνής/ευρωπαϊκή διάστασή της σε σχέση με τους στόχους της πρόσκλησης υποβολής προτάσεων, οι ανάγκες και οι τάσεις του κλάδου, ο βαθμός καινοτομίας του έργου αναφορικά με την υφιστάμενη προσφορά για κατάρτιση στην Ευρώπη και οι εταιρικές σχέσεις με τον οπτικοακουστικό τομέα.</w:t>
      </w:r>
    </w:p>
    <w:p w:rsidR="0098410E" w:rsidRPr="00EC63C1" w:rsidRDefault="0098410E" w:rsidP="00EC63C1">
      <w:pPr>
        <w:pStyle w:val="Text1"/>
        <w:spacing w:after="0"/>
        <w:ind w:left="0"/>
        <w:rPr>
          <w:spacing w:val="-3"/>
          <w:sz w:val="22"/>
          <w:szCs w:val="22"/>
        </w:rPr>
      </w:pPr>
    </w:p>
    <w:p w:rsidR="0098410E" w:rsidRPr="00980C1E" w:rsidRDefault="0098410E" w:rsidP="00EC63C1">
      <w:pPr>
        <w:pStyle w:val="Text1"/>
        <w:spacing w:after="120"/>
        <w:ind w:left="0"/>
        <w:rPr>
          <w:spacing w:val="-3"/>
          <w:sz w:val="22"/>
          <w:szCs w:val="22"/>
        </w:rPr>
      </w:pPr>
      <w:r>
        <w:rPr>
          <w:spacing w:val="-3"/>
          <w:sz w:val="22"/>
        </w:rPr>
        <w:t>Ποιότητα του περιεχομένου και των δραστηριοτήτων (40 βαθμοί)</w:t>
      </w:r>
    </w:p>
    <w:p w:rsidR="00443E8A" w:rsidRPr="00EC63C1" w:rsidRDefault="00443E8A" w:rsidP="00EC63C1">
      <w:pPr>
        <w:pStyle w:val="Text1"/>
        <w:numPr>
          <w:ilvl w:val="0"/>
          <w:numId w:val="3"/>
        </w:numPr>
        <w:spacing w:after="0"/>
        <w:ind w:hanging="436"/>
        <w:rPr>
          <w:spacing w:val="-5"/>
          <w:sz w:val="22"/>
          <w:szCs w:val="22"/>
        </w:rPr>
      </w:pPr>
      <w:r>
        <w:rPr>
          <w:sz w:val="22"/>
        </w:rPr>
        <w:lastRenderedPageBreak/>
        <w:t>Καταλληλότητα της μεθοδολογίας ως προς τους στόχους (σε μορφή η οποία να περιλαμβάνει τις καινοτόμες πτυχές που βασίζονται στη χρήση των πιο πρόσφατων ψηφιακών τεχνολογιών, την ομάδα-στόχο, την εμπειρογνωμοσύνη, τη σχέση κόστους-αποτελεσματικότητα της δραστηριότητας).</w:t>
      </w:r>
    </w:p>
    <w:p w:rsidR="0098410E" w:rsidRPr="00980C1E" w:rsidRDefault="0098410E" w:rsidP="00EC63C1">
      <w:pPr>
        <w:pStyle w:val="Text1"/>
        <w:spacing w:after="0"/>
        <w:ind w:left="0"/>
        <w:rPr>
          <w:sz w:val="22"/>
          <w:szCs w:val="22"/>
        </w:rPr>
      </w:pPr>
    </w:p>
    <w:p w:rsidR="0098410E" w:rsidRPr="00980C1E" w:rsidRDefault="0098410E" w:rsidP="00EC63C1">
      <w:pPr>
        <w:pStyle w:val="Text1"/>
        <w:spacing w:after="120"/>
        <w:ind w:left="0"/>
        <w:rPr>
          <w:spacing w:val="-3"/>
          <w:sz w:val="22"/>
          <w:szCs w:val="22"/>
        </w:rPr>
      </w:pPr>
      <w:r>
        <w:rPr>
          <w:sz w:val="22"/>
        </w:rPr>
        <w:t>Διάδοση των αποτελεσμάτων, αντίκτυπος και βιωσιμότητα του έργου (30 βαθμοί)</w:t>
      </w:r>
    </w:p>
    <w:p w:rsidR="00443E8A" w:rsidRPr="00EC63C1" w:rsidRDefault="00443E8A" w:rsidP="00EC63C1">
      <w:pPr>
        <w:pStyle w:val="Text1"/>
        <w:numPr>
          <w:ilvl w:val="0"/>
          <w:numId w:val="3"/>
        </w:numPr>
        <w:spacing w:after="0"/>
        <w:ind w:hanging="436"/>
        <w:rPr>
          <w:spacing w:val="-5"/>
          <w:sz w:val="22"/>
          <w:szCs w:val="22"/>
        </w:rPr>
      </w:pPr>
      <w:r>
        <w:rPr>
          <w:spacing w:val="-5"/>
          <w:sz w:val="22"/>
        </w:rPr>
        <w:t>Μηχανισμοί για τη διάδοση των καλών πρακτικών και αποτελεσμάτων σε κοινό που δεν περιορίζεται στους συμμετέχοντες, του αντίκτυπου για τους συμμετέχοντες επαγγελματίες, τις επιμέρους επιχειρήσεις και τον οπτικοακουστικό τομέα, καθώς και του αντίκτυπος στην πρόσβαση ιδιωτών και επιχειρήσεων σε διεθνή δίκτυα και αγορές</w:t>
      </w:r>
    </w:p>
    <w:p w:rsidR="0098410E" w:rsidRPr="00980C1E" w:rsidRDefault="0098410E" w:rsidP="00EC63C1">
      <w:pPr>
        <w:pStyle w:val="Text1"/>
        <w:spacing w:after="0"/>
        <w:ind w:left="0"/>
        <w:rPr>
          <w:sz w:val="22"/>
          <w:szCs w:val="22"/>
        </w:rPr>
      </w:pPr>
    </w:p>
    <w:p w:rsidR="0098410E" w:rsidRPr="00980C1E" w:rsidRDefault="00347BE9" w:rsidP="00EC63C1">
      <w:pPr>
        <w:pStyle w:val="Text1"/>
        <w:spacing w:after="120"/>
        <w:ind w:left="0"/>
        <w:rPr>
          <w:sz w:val="22"/>
          <w:szCs w:val="22"/>
        </w:rPr>
      </w:pPr>
      <w:r>
        <w:rPr>
          <w:sz w:val="22"/>
        </w:rPr>
        <w:t>Οργάνωση της ομάδας του έργου (10 βαθμοί)</w:t>
      </w:r>
    </w:p>
    <w:p w:rsidR="00C52086" w:rsidRPr="00C52086" w:rsidRDefault="00443E8A" w:rsidP="00C52086">
      <w:pPr>
        <w:pStyle w:val="Text1"/>
        <w:numPr>
          <w:ilvl w:val="0"/>
          <w:numId w:val="3"/>
        </w:numPr>
        <w:spacing w:after="0"/>
        <w:ind w:hanging="436"/>
        <w:rPr>
          <w:sz w:val="22"/>
          <w:szCs w:val="22"/>
        </w:rPr>
      </w:pPr>
      <w:r>
        <w:rPr>
          <w:spacing w:val="-5"/>
          <w:sz w:val="22"/>
        </w:rPr>
        <w:t>Η κατανομή των ρόλων και των αρμοδιοτήτων της ομάδας, καθώς και η συνάφεια της παιδαγωγικής εμπειρογνωμοσύνης των εποπτών, των εμπειρογνωμόνων και των εκπαιδευτών ως προς τους στόχους της δράσης κατάρτισης.</w:t>
      </w:r>
    </w:p>
    <w:p w:rsidR="00C52086" w:rsidRPr="00C52086" w:rsidRDefault="00C52086" w:rsidP="00D05FF5">
      <w:pPr>
        <w:ind w:left="927"/>
        <w:jc w:val="both"/>
      </w:pPr>
    </w:p>
    <w:p w:rsidR="00C52086" w:rsidRPr="00D05FF5" w:rsidRDefault="00C52086" w:rsidP="00D05FF5">
      <w:pPr>
        <w:jc w:val="both"/>
        <w:rPr>
          <w:b/>
          <w:smallCaps/>
          <w:szCs w:val="24"/>
        </w:rPr>
      </w:pPr>
      <w:r w:rsidRPr="00D05FF5">
        <w:rPr>
          <w:b/>
        </w:rPr>
        <w:t>5.</w:t>
      </w:r>
      <w:r>
        <w:tab/>
      </w:r>
      <w:r w:rsidRPr="00D05FF5">
        <w:rPr>
          <w:b/>
          <w:smallCaps/>
        </w:rPr>
        <w:t>Προϋπολογισμός</w:t>
      </w:r>
    </w:p>
    <w:p w:rsidR="00C52086" w:rsidRPr="00C52086" w:rsidRDefault="00C52086" w:rsidP="00D05FF5">
      <w:pPr>
        <w:ind w:left="927"/>
        <w:jc w:val="both"/>
      </w:pPr>
    </w:p>
    <w:p w:rsidR="00D05FF5" w:rsidRPr="00980C1E" w:rsidRDefault="00D05FF5" w:rsidP="00D05FF5">
      <w:pPr>
        <w:suppressAutoHyphens/>
        <w:jc w:val="both"/>
        <w:rPr>
          <w:rFonts w:ascii="Times New Roman" w:hAnsi="Times New Roman"/>
          <w:spacing w:val="-3"/>
        </w:rPr>
      </w:pPr>
      <w:r>
        <w:rPr>
          <w:rFonts w:ascii="Times New Roman" w:hAnsi="Times New Roman"/>
          <w:spacing w:val="-3"/>
        </w:rPr>
        <w:t xml:space="preserve">Ο συνολικός διαθέσιμος προϋπολογισμός εκτιμάται σε </w:t>
      </w:r>
      <w:r w:rsidRPr="00B05AB7">
        <w:rPr>
          <w:rFonts w:ascii="Times New Roman" w:hAnsi="Times New Roman"/>
          <w:spacing w:val="-3"/>
        </w:rPr>
        <w:t>7</w:t>
      </w:r>
      <w:r w:rsidRPr="00D05FF5">
        <w:rPr>
          <w:rFonts w:ascii="Times New Roman" w:hAnsi="Times New Roman"/>
          <w:spacing w:val="-3"/>
        </w:rPr>
        <w:t>.3</w:t>
      </w:r>
      <w:r>
        <w:rPr>
          <w:rFonts w:ascii="Times New Roman" w:hAnsi="Times New Roman"/>
          <w:spacing w:val="-3"/>
        </w:rPr>
        <w:t xml:space="preserve"> εκατ. €. </w:t>
      </w:r>
    </w:p>
    <w:p w:rsidR="00D05FF5" w:rsidRPr="00980C1E" w:rsidRDefault="00D05FF5" w:rsidP="00D05FF5">
      <w:pPr>
        <w:suppressAutoHyphens/>
        <w:jc w:val="both"/>
        <w:rPr>
          <w:rFonts w:ascii="Times New Roman" w:hAnsi="Times New Roman"/>
          <w:spacing w:val="-3"/>
        </w:rPr>
      </w:pPr>
    </w:p>
    <w:p w:rsidR="00D05FF5" w:rsidRDefault="00D05FF5" w:rsidP="00D05FF5">
      <w:pPr>
        <w:jc w:val="both"/>
        <w:rPr>
          <w:rFonts w:ascii="Times New Roman" w:eastAsia="Arial Unicode MS" w:hAnsi="Times New Roman"/>
        </w:rPr>
      </w:pPr>
      <w:r>
        <w:rPr>
          <w:rFonts w:ascii="Times New Roman" w:hAnsi="Times New Roman"/>
        </w:rPr>
        <w:t>Η χρηματοδοτική συνδρομή της Ένωσης δεν μπορεί να υπερβαίνει:</w:t>
      </w:r>
    </w:p>
    <w:p w:rsidR="00D05FF5" w:rsidRPr="00980C1E" w:rsidRDefault="00D05FF5" w:rsidP="00D05FF5">
      <w:pPr>
        <w:jc w:val="both"/>
        <w:rPr>
          <w:rFonts w:ascii="Times New Roman" w:hAnsi="Times New Roman"/>
        </w:rPr>
      </w:pPr>
    </w:p>
    <w:p w:rsidR="00D05FF5" w:rsidRDefault="00D05FF5" w:rsidP="00D05FF5">
      <w:pPr>
        <w:ind w:left="851"/>
        <w:jc w:val="both"/>
        <w:rPr>
          <w:rFonts w:ascii="Times New Roman" w:hAnsi="Times New Roman"/>
        </w:rPr>
      </w:pPr>
      <w:r>
        <w:rPr>
          <w:rFonts w:ascii="Times New Roman" w:hAnsi="Times New Roman"/>
        </w:rPr>
        <w:t>- το 60 % του συνόλου των επιλέξιμων δαπανών της δράσης, στην περίπτωση δράσης που υλοποιείται σε χώρες που συμμετέχουν στα υποπρόγραμμα MEDIA·</w:t>
      </w:r>
    </w:p>
    <w:p w:rsidR="00D05FF5" w:rsidRPr="00980C1E" w:rsidRDefault="00D05FF5" w:rsidP="00D05FF5">
      <w:pPr>
        <w:ind w:left="851"/>
        <w:jc w:val="both"/>
        <w:rPr>
          <w:rFonts w:ascii="Times New Roman" w:hAnsi="Times New Roman"/>
        </w:rPr>
      </w:pPr>
    </w:p>
    <w:p w:rsidR="00D05FF5" w:rsidRPr="00980C1E" w:rsidRDefault="00D05FF5" w:rsidP="00D05FF5">
      <w:pPr>
        <w:ind w:left="851"/>
        <w:jc w:val="both"/>
        <w:rPr>
          <w:rFonts w:ascii="Times New Roman" w:hAnsi="Times New Roman"/>
        </w:rPr>
      </w:pPr>
      <w:r>
        <w:rPr>
          <w:rFonts w:ascii="Times New Roman" w:hAnsi="Times New Roman"/>
        </w:rPr>
        <w:t>- το 80 % του συνόλου των επιλέξιμων δαπανών της δράσης, στην περίπτωση δράσης που υλοποιείται σε χώρες εκτός του υποπρογράμματος MEDIA.</w:t>
      </w:r>
    </w:p>
    <w:p w:rsidR="00D05FF5" w:rsidRPr="00980C1E" w:rsidRDefault="00D05FF5" w:rsidP="00D05FF5">
      <w:pPr>
        <w:jc w:val="both"/>
        <w:rPr>
          <w:rFonts w:ascii="Times New Roman" w:hAnsi="Times New Roman"/>
        </w:rPr>
      </w:pPr>
    </w:p>
    <w:p w:rsidR="00D05FF5" w:rsidRPr="00980C1E" w:rsidRDefault="00D05FF5" w:rsidP="00D05FF5">
      <w:pPr>
        <w:jc w:val="both"/>
        <w:rPr>
          <w:rFonts w:ascii="Times New Roman" w:hAnsi="Times New Roman"/>
        </w:rPr>
      </w:pPr>
      <w:r>
        <w:rPr>
          <w:rFonts w:ascii="Times New Roman" w:hAnsi="Times New Roman"/>
        </w:rPr>
        <w:t>Ο οργανισμός επιφυλάσσεται του δικαιώματος να μην χορηγήσει το σύνολο των διαθέσιμων κονδυλίων.</w:t>
      </w:r>
    </w:p>
    <w:p w:rsidR="00D05FF5" w:rsidRPr="00980C1E" w:rsidRDefault="00D05FF5" w:rsidP="00D05FF5">
      <w:pPr>
        <w:jc w:val="both"/>
        <w:rPr>
          <w:rFonts w:ascii="Times New Roman" w:hAnsi="Times New Roman"/>
          <w:sz w:val="24"/>
          <w:szCs w:val="24"/>
        </w:rPr>
      </w:pPr>
    </w:p>
    <w:p w:rsidR="00D05FF5" w:rsidRPr="00980C1E" w:rsidRDefault="00D05FF5" w:rsidP="00D05FF5">
      <w:pPr>
        <w:jc w:val="both"/>
        <w:rPr>
          <w:rFonts w:ascii="Times New Roman" w:hAnsi="Times New Roman"/>
        </w:rPr>
      </w:pPr>
    </w:p>
    <w:p w:rsidR="00D05FF5" w:rsidRPr="00980C1E" w:rsidRDefault="00D05FF5" w:rsidP="00D05FF5">
      <w:pPr>
        <w:jc w:val="both"/>
        <w:rPr>
          <w:rFonts w:ascii="Times New Roman" w:hAnsi="Times New Roman"/>
          <w:b/>
          <w:smallCaps/>
          <w:sz w:val="24"/>
          <w:szCs w:val="24"/>
        </w:rPr>
      </w:pPr>
      <w:r>
        <w:rPr>
          <w:rFonts w:ascii="Times New Roman" w:hAnsi="Times New Roman"/>
          <w:b/>
          <w:sz w:val="24"/>
        </w:rPr>
        <w:t>6.</w:t>
      </w:r>
      <w:r>
        <w:tab/>
      </w:r>
      <w:r>
        <w:rPr>
          <w:rFonts w:ascii="Times New Roman" w:hAnsi="Times New Roman"/>
          <w:b/>
          <w:smallCaps/>
          <w:sz w:val="24"/>
        </w:rPr>
        <w:t>Καταληκτική ημερομηνία για την υποβολή αιτήσεων</w:t>
      </w:r>
    </w:p>
    <w:p w:rsidR="00D05FF5" w:rsidRPr="00980C1E" w:rsidRDefault="00D05FF5" w:rsidP="00D05FF5">
      <w:pPr>
        <w:jc w:val="both"/>
        <w:rPr>
          <w:rFonts w:ascii="Times New Roman" w:hAnsi="Times New Roman"/>
          <w:b/>
          <w:smallCaps/>
          <w:sz w:val="24"/>
          <w:szCs w:val="24"/>
        </w:rPr>
      </w:pPr>
    </w:p>
    <w:p w:rsidR="00D05FF5" w:rsidRPr="00980C1E" w:rsidRDefault="00D05FF5" w:rsidP="00D05FF5">
      <w:pPr>
        <w:autoSpaceDE w:val="0"/>
        <w:autoSpaceDN w:val="0"/>
        <w:adjustRightInd w:val="0"/>
        <w:spacing w:line="276" w:lineRule="auto"/>
        <w:jc w:val="both"/>
        <w:rPr>
          <w:rFonts w:ascii="Times New Roman" w:hAnsi="Times New Roman"/>
          <w:bCs/>
        </w:rPr>
      </w:pPr>
      <w:r>
        <w:rPr>
          <w:rFonts w:ascii="Times New Roman" w:hAnsi="Times New Roman"/>
        </w:rPr>
        <w:t xml:space="preserve">Οι προτάσεις πρέπει να υποβληθούν το αργότερο έως τις </w:t>
      </w:r>
      <w:r w:rsidRPr="00D05FF5">
        <w:rPr>
          <w:rFonts w:ascii="Times New Roman" w:hAnsi="Times New Roman"/>
          <w:b/>
        </w:rPr>
        <w:t>14/04/</w:t>
      </w:r>
      <w:r>
        <w:rPr>
          <w:rFonts w:ascii="Times New Roman" w:hAnsi="Times New Roman"/>
          <w:b/>
        </w:rPr>
        <w:t>201</w:t>
      </w:r>
      <w:r w:rsidRPr="00B05AB7">
        <w:rPr>
          <w:rFonts w:ascii="Times New Roman" w:hAnsi="Times New Roman"/>
          <w:b/>
        </w:rPr>
        <w:t>6</w:t>
      </w:r>
      <w:r>
        <w:rPr>
          <w:rFonts w:ascii="Times New Roman" w:hAnsi="Times New Roman"/>
          <w:b/>
        </w:rPr>
        <w:t xml:space="preserve"> ώρα 12.00 μεσημβρινή</w:t>
      </w:r>
      <w:r>
        <w:rPr>
          <w:rFonts w:ascii="Times New Roman" w:hAnsi="Times New Roman"/>
        </w:rPr>
        <w:t xml:space="preserve"> (ώρα Βρυξελλών), μέσω του ηλεκτρονικού εντύπου αίτησης</w:t>
      </w:r>
      <w:r w:rsidRPr="00B05AB7">
        <w:rPr>
          <w:rFonts w:ascii="Times New Roman" w:hAnsi="Times New Roman"/>
        </w:rPr>
        <w:t xml:space="preserve"> (</w:t>
      </w:r>
      <w:r>
        <w:rPr>
          <w:rFonts w:ascii="Times New Roman" w:hAnsi="Times New Roman"/>
          <w:lang w:val="en-GB"/>
        </w:rPr>
        <w:t>eForm</w:t>
      </w:r>
      <w:r w:rsidRPr="00B05AB7">
        <w:rPr>
          <w:rFonts w:ascii="Times New Roman" w:hAnsi="Times New Roman"/>
        </w:rPr>
        <w:t>)</w:t>
      </w:r>
      <w:r>
        <w:rPr>
          <w:rFonts w:ascii="Times New Roman" w:hAnsi="Times New Roman"/>
        </w:rPr>
        <w:t xml:space="preserve">. Δεν θα γίνει δεκτή καμία άλλη μέθοδος υποβολής αίτησης. </w:t>
      </w:r>
    </w:p>
    <w:p w:rsidR="00D05FF5" w:rsidRPr="00980C1E" w:rsidRDefault="00D05FF5" w:rsidP="00D05FF5">
      <w:pPr>
        <w:autoSpaceDE w:val="0"/>
        <w:autoSpaceDN w:val="0"/>
        <w:adjustRightInd w:val="0"/>
        <w:spacing w:line="276" w:lineRule="auto"/>
        <w:jc w:val="both"/>
        <w:rPr>
          <w:rFonts w:ascii="Times New Roman" w:hAnsi="Times New Roman"/>
          <w:bCs/>
        </w:rPr>
      </w:pPr>
    </w:p>
    <w:p w:rsidR="00D05FF5" w:rsidRDefault="00D05FF5" w:rsidP="00D05FF5">
      <w:pPr>
        <w:autoSpaceDE w:val="0"/>
        <w:autoSpaceDN w:val="0"/>
        <w:adjustRightInd w:val="0"/>
        <w:spacing w:line="276" w:lineRule="auto"/>
        <w:jc w:val="both"/>
        <w:rPr>
          <w:rFonts w:ascii="Times New Roman" w:hAnsi="Times New Roman"/>
        </w:rPr>
      </w:pPr>
      <w:r>
        <w:rPr>
          <w:rFonts w:ascii="Times New Roman" w:hAnsi="Times New Roman"/>
        </w:rPr>
        <w:t>Οι αιτούντες πρέπει να εξασφαλίσουν την παροχή όλων των εγγράφων που απαιτούνται και αναφέρονται στα ηλεκτρονικά έντυπα.</w:t>
      </w:r>
    </w:p>
    <w:p w:rsidR="00D05FF5" w:rsidRPr="00980C1E" w:rsidRDefault="00D05FF5" w:rsidP="00D05FF5">
      <w:pPr>
        <w:autoSpaceDE w:val="0"/>
        <w:autoSpaceDN w:val="0"/>
        <w:adjustRightInd w:val="0"/>
        <w:spacing w:line="276" w:lineRule="auto"/>
        <w:jc w:val="both"/>
        <w:rPr>
          <w:rFonts w:ascii="Times New Roman" w:hAnsi="Times New Roman"/>
        </w:rPr>
      </w:pPr>
    </w:p>
    <w:p w:rsidR="00D05FF5" w:rsidRPr="00D05FF5" w:rsidRDefault="00D05FF5" w:rsidP="00D05FF5">
      <w:pPr>
        <w:autoSpaceDE w:val="0"/>
        <w:autoSpaceDN w:val="0"/>
        <w:adjustRightInd w:val="0"/>
        <w:jc w:val="both"/>
        <w:rPr>
          <w:rFonts w:ascii="Times New Roman" w:hAnsi="Times New Roman"/>
          <w:bCs/>
          <w:sz w:val="24"/>
          <w:szCs w:val="24"/>
        </w:rPr>
      </w:pPr>
    </w:p>
    <w:p w:rsidR="00D05FF5" w:rsidRPr="00980C1E" w:rsidRDefault="00D05FF5" w:rsidP="00D05FF5">
      <w:pPr>
        <w:jc w:val="both"/>
        <w:rPr>
          <w:rFonts w:ascii="Times New Roman" w:hAnsi="Times New Roman"/>
          <w:b/>
          <w:smallCaps/>
          <w:sz w:val="24"/>
          <w:szCs w:val="24"/>
        </w:rPr>
      </w:pPr>
      <w:r>
        <w:rPr>
          <w:rFonts w:ascii="Times New Roman" w:hAnsi="Times New Roman"/>
          <w:b/>
          <w:sz w:val="24"/>
        </w:rPr>
        <w:t>7.</w:t>
      </w:r>
      <w:r>
        <w:tab/>
      </w:r>
      <w:r>
        <w:rPr>
          <w:rFonts w:ascii="Times New Roman" w:hAnsi="Times New Roman"/>
          <w:b/>
          <w:smallCaps/>
          <w:sz w:val="24"/>
        </w:rPr>
        <w:t>Πλήρεις πληροφορίες</w:t>
      </w:r>
    </w:p>
    <w:p w:rsidR="00D05FF5" w:rsidRPr="00980C1E" w:rsidRDefault="00D05FF5" w:rsidP="00D05FF5">
      <w:pPr>
        <w:jc w:val="both"/>
        <w:rPr>
          <w:rFonts w:ascii="Times New Roman" w:hAnsi="Times New Roman"/>
        </w:rPr>
      </w:pPr>
    </w:p>
    <w:p w:rsidR="00D05FF5" w:rsidRPr="00D05FF5" w:rsidRDefault="00D05FF5" w:rsidP="00D05FF5">
      <w:pPr>
        <w:pStyle w:val="Text1"/>
        <w:spacing w:after="0"/>
        <w:ind w:left="0"/>
        <w:rPr>
          <w:sz w:val="22"/>
        </w:rPr>
      </w:pPr>
      <w:r>
        <w:rPr>
          <w:sz w:val="22"/>
        </w:rPr>
        <w:t>Το πλήρες κείμενο των κατευθυντήριων γραμμών καθώς και τα έντυπα αίτησης διατίθενται στην ακόλουθη διαδικτυακή διεύθυνση:</w:t>
      </w:r>
    </w:p>
    <w:p w:rsidR="00D05FF5" w:rsidRPr="00D05FF5" w:rsidRDefault="00D05FF5" w:rsidP="00D05FF5">
      <w:pPr>
        <w:pStyle w:val="Text1"/>
        <w:spacing w:after="0"/>
        <w:ind w:left="0"/>
        <w:rPr>
          <w:sz w:val="22"/>
        </w:rPr>
      </w:pPr>
    </w:p>
    <w:p w:rsidR="00D05FF5" w:rsidRPr="00D05FF5" w:rsidRDefault="00A90FA8" w:rsidP="00D05FF5">
      <w:pPr>
        <w:rPr>
          <w:rFonts w:ascii="Times New Roman" w:hAnsi="Times New Roman"/>
        </w:rPr>
      </w:pPr>
      <w:hyperlink r:id="rId10" w:history="1">
        <w:r w:rsidR="00B61A28" w:rsidRPr="007C677E">
          <w:rPr>
            <w:rStyle w:val="-"/>
            <w:rFonts w:ascii="Times New Roman" w:hAnsi="Times New Roman"/>
            <w:lang w:val="fr-BE"/>
          </w:rPr>
          <w:t>https</w:t>
        </w:r>
        <w:r w:rsidR="00B61A28" w:rsidRPr="007C677E">
          <w:rPr>
            <w:rStyle w:val="-"/>
            <w:rFonts w:ascii="Times New Roman" w:hAnsi="Times New Roman"/>
          </w:rPr>
          <w:t>://</w:t>
        </w:r>
        <w:r w:rsidR="00B61A28" w:rsidRPr="007C677E">
          <w:rPr>
            <w:rStyle w:val="-"/>
            <w:rFonts w:ascii="Times New Roman" w:hAnsi="Times New Roman"/>
            <w:lang w:val="fr-BE"/>
          </w:rPr>
          <w:t>eacea</w:t>
        </w:r>
        <w:r w:rsidR="00B61A28" w:rsidRPr="007C677E">
          <w:rPr>
            <w:rStyle w:val="-"/>
            <w:rFonts w:ascii="Times New Roman" w:hAnsi="Times New Roman"/>
          </w:rPr>
          <w:t>.</w:t>
        </w:r>
        <w:r w:rsidR="00B61A28" w:rsidRPr="007C677E">
          <w:rPr>
            <w:rStyle w:val="-"/>
            <w:rFonts w:ascii="Times New Roman" w:hAnsi="Times New Roman"/>
            <w:lang w:val="fr-BE"/>
          </w:rPr>
          <w:t>ec</w:t>
        </w:r>
        <w:r w:rsidR="00B61A28" w:rsidRPr="007C677E">
          <w:rPr>
            <w:rStyle w:val="-"/>
            <w:rFonts w:ascii="Times New Roman" w:hAnsi="Times New Roman"/>
          </w:rPr>
          <w:t>.</w:t>
        </w:r>
        <w:r w:rsidR="00B61A28" w:rsidRPr="007C677E">
          <w:rPr>
            <w:rStyle w:val="-"/>
            <w:rFonts w:ascii="Times New Roman" w:hAnsi="Times New Roman"/>
            <w:lang w:val="fr-BE"/>
          </w:rPr>
          <w:t>europa</w:t>
        </w:r>
        <w:r w:rsidR="00B61A28" w:rsidRPr="007C677E">
          <w:rPr>
            <w:rStyle w:val="-"/>
            <w:rFonts w:ascii="Times New Roman" w:hAnsi="Times New Roman"/>
          </w:rPr>
          <w:t>.</w:t>
        </w:r>
        <w:r w:rsidR="00B61A28" w:rsidRPr="007C677E">
          <w:rPr>
            <w:rStyle w:val="-"/>
            <w:rFonts w:ascii="Times New Roman" w:hAnsi="Times New Roman"/>
            <w:lang w:val="fr-BE"/>
          </w:rPr>
          <w:t>eu</w:t>
        </w:r>
        <w:r w:rsidR="00B61A28" w:rsidRPr="007C677E">
          <w:rPr>
            <w:rStyle w:val="-"/>
            <w:rFonts w:ascii="Times New Roman" w:hAnsi="Times New Roman"/>
          </w:rPr>
          <w:t>/</w:t>
        </w:r>
        <w:r w:rsidR="00B61A28" w:rsidRPr="007C677E">
          <w:rPr>
            <w:rStyle w:val="-"/>
            <w:rFonts w:ascii="Times New Roman" w:hAnsi="Times New Roman"/>
            <w:lang w:val="fr-BE"/>
          </w:rPr>
          <w:t>creative</w:t>
        </w:r>
        <w:r w:rsidR="00B61A28" w:rsidRPr="007C677E">
          <w:rPr>
            <w:rStyle w:val="-"/>
            <w:rFonts w:ascii="Times New Roman" w:hAnsi="Times New Roman"/>
          </w:rPr>
          <w:t>-</w:t>
        </w:r>
        <w:r w:rsidR="00B61A28" w:rsidRPr="007C677E">
          <w:rPr>
            <w:rStyle w:val="-"/>
            <w:rFonts w:ascii="Times New Roman" w:hAnsi="Times New Roman"/>
            <w:lang w:val="fr-BE"/>
          </w:rPr>
          <w:t>europe</w:t>
        </w:r>
        <w:r w:rsidR="00B61A28" w:rsidRPr="007C677E">
          <w:rPr>
            <w:rStyle w:val="-"/>
            <w:rFonts w:ascii="Times New Roman" w:hAnsi="Times New Roman"/>
          </w:rPr>
          <w:t>/</w:t>
        </w:r>
        <w:r w:rsidR="00B61A28" w:rsidRPr="007C677E">
          <w:rPr>
            <w:rStyle w:val="-"/>
            <w:rFonts w:ascii="Times New Roman" w:hAnsi="Times New Roman"/>
            <w:lang w:val="fr-BE"/>
          </w:rPr>
          <w:t>funding</w:t>
        </w:r>
        <w:r w:rsidR="00B61A28" w:rsidRPr="007C677E">
          <w:rPr>
            <w:rStyle w:val="-"/>
            <w:rFonts w:ascii="Times New Roman" w:hAnsi="Times New Roman"/>
          </w:rPr>
          <w:t>/</w:t>
        </w:r>
        <w:r w:rsidR="00B61A28" w:rsidRPr="007C677E">
          <w:rPr>
            <w:rStyle w:val="-"/>
            <w:rFonts w:ascii="Times New Roman" w:hAnsi="Times New Roman"/>
            <w:lang w:val="fr-BE"/>
          </w:rPr>
          <w:t>support</w:t>
        </w:r>
        <w:r w:rsidR="00B61A28" w:rsidRPr="007C677E">
          <w:rPr>
            <w:rStyle w:val="-"/>
            <w:rFonts w:ascii="Times New Roman" w:hAnsi="Times New Roman"/>
          </w:rPr>
          <w:t>-</w:t>
        </w:r>
        <w:r w:rsidR="00B61A28" w:rsidRPr="007C677E">
          <w:rPr>
            <w:rStyle w:val="-"/>
            <w:rFonts w:ascii="Times New Roman" w:hAnsi="Times New Roman"/>
            <w:lang w:val="fr-BE"/>
          </w:rPr>
          <w:t>training</w:t>
        </w:r>
        <w:r w:rsidR="00B61A28" w:rsidRPr="007C677E">
          <w:rPr>
            <w:rStyle w:val="-"/>
            <w:rFonts w:ascii="Times New Roman" w:hAnsi="Times New Roman"/>
          </w:rPr>
          <w:t>-2016-</w:t>
        </w:r>
        <w:r w:rsidR="00B61A28" w:rsidRPr="007C677E">
          <w:rPr>
            <w:rStyle w:val="-"/>
            <w:rFonts w:ascii="Times New Roman" w:hAnsi="Times New Roman"/>
            <w:lang w:val="fr-BE"/>
          </w:rPr>
          <w:t>eacea</w:t>
        </w:r>
        <w:r w:rsidR="00B61A28" w:rsidRPr="007C677E">
          <w:rPr>
            <w:rStyle w:val="-"/>
            <w:rFonts w:ascii="Times New Roman" w:hAnsi="Times New Roman"/>
          </w:rPr>
          <w:t>062016_</w:t>
        </w:r>
        <w:r w:rsidR="00B61A28" w:rsidRPr="007C677E">
          <w:rPr>
            <w:rStyle w:val="-"/>
            <w:rFonts w:ascii="Times New Roman" w:hAnsi="Times New Roman"/>
            <w:lang w:val="fr-BE"/>
          </w:rPr>
          <w:t>en</w:t>
        </w:r>
      </w:hyperlink>
    </w:p>
    <w:p w:rsidR="00D05FF5" w:rsidRPr="00D05FF5" w:rsidRDefault="00D05FF5" w:rsidP="00D05FF5">
      <w:pPr>
        <w:rPr>
          <w:rFonts w:ascii="Times New Roman" w:hAnsi="Times New Roman"/>
        </w:rPr>
      </w:pPr>
    </w:p>
    <w:p w:rsidR="00D05FF5" w:rsidRPr="00980C1E" w:rsidRDefault="00D05FF5" w:rsidP="00D05FF5">
      <w:pPr>
        <w:pStyle w:val="Text1"/>
        <w:spacing w:after="0"/>
        <w:ind w:left="0"/>
        <w:rPr>
          <w:sz w:val="22"/>
          <w:szCs w:val="22"/>
        </w:rPr>
      </w:pPr>
      <w:r>
        <w:rPr>
          <w:sz w:val="22"/>
        </w:rPr>
        <w:t>Οι αιτήσεις πρέπει να συμμορφώνονται με όλους τους όρους των κατευθυντήριων γραμμών και να υποβάλλονται στα διατιθέμενα ηλεκτρονικά έντυπα.</w:t>
      </w:r>
    </w:p>
    <w:p w:rsidR="00D05FF5" w:rsidRPr="00980C1E" w:rsidRDefault="00D05FF5" w:rsidP="00D05FF5">
      <w:pPr>
        <w:jc w:val="both"/>
        <w:rPr>
          <w:rFonts w:ascii="Times New Roman" w:hAnsi="Times New Roman"/>
        </w:rPr>
      </w:pPr>
    </w:p>
    <w:p w:rsidR="00C52086" w:rsidRPr="00C52086" w:rsidRDefault="00C52086" w:rsidP="00D05FF5">
      <w:pPr>
        <w:pStyle w:val="Text1"/>
        <w:spacing w:after="0"/>
        <w:ind w:left="0"/>
        <w:rPr>
          <w:sz w:val="22"/>
          <w:szCs w:val="22"/>
        </w:rPr>
      </w:pPr>
    </w:p>
    <w:sectPr w:rsidR="00C52086" w:rsidRPr="00C52086" w:rsidSect="00C230F3">
      <w:footerReference w:type="default" r:id="rId11"/>
      <w:pgSz w:w="11907" w:h="16840" w:code="9"/>
      <w:pgMar w:top="1021" w:right="1701" w:bottom="102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57F" w:rsidRDefault="00DC357F">
      <w:r>
        <w:separator/>
      </w:r>
    </w:p>
  </w:endnote>
  <w:endnote w:type="continuationSeparator" w:id="1">
    <w:p w:rsidR="00DC357F" w:rsidRDefault="00DC35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EA" w:rsidRDefault="00A90FA8">
    <w:pPr>
      <w:pStyle w:val="a6"/>
      <w:jc w:val="center"/>
    </w:pPr>
    <w:r>
      <w:fldChar w:fldCharType="begin"/>
    </w:r>
    <w:r w:rsidR="00FF00EA">
      <w:instrText xml:space="preserve"> PAGE   \* MERGEFORMAT </w:instrText>
    </w:r>
    <w:r>
      <w:fldChar w:fldCharType="separate"/>
    </w:r>
    <w:r w:rsidR="001B50F5">
      <w:rPr>
        <w:noProof/>
      </w:rPr>
      <w:t>4</w:t>
    </w:r>
    <w:r>
      <w:rPr>
        <w:noProof/>
      </w:rPr>
      <w:fldChar w:fldCharType="end"/>
    </w:r>
  </w:p>
  <w:p w:rsidR="00FF00EA" w:rsidRDefault="00FF00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57F" w:rsidRDefault="00DC357F">
      <w:r>
        <w:separator/>
      </w:r>
    </w:p>
  </w:footnote>
  <w:footnote w:type="continuationSeparator" w:id="1">
    <w:p w:rsidR="00DC357F" w:rsidRDefault="00DC357F">
      <w:r>
        <w:continuationSeparator/>
      </w:r>
    </w:p>
  </w:footnote>
  <w:footnote w:id="2">
    <w:p w:rsidR="00DF6419" w:rsidRPr="0045415C" w:rsidRDefault="00DF6419" w:rsidP="00DF6419">
      <w:pPr>
        <w:pStyle w:val="a7"/>
      </w:pPr>
      <w:r>
        <w:rPr>
          <w:rStyle w:val="a8"/>
        </w:rPr>
        <w:footnoteRef/>
      </w:r>
      <w:r>
        <w:t xml:space="preserve"> </w:t>
      </w:r>
      <w:r>
        <w:rPr>
          <w:sz w:val="16"/>
        </w:rPr>
        <w:t>Κανονισμός αριθ. 1295/2013, Επίσημη Εφημερίδα της Ευρωπαϊκής Ένωσης στις 20/12/2013 (ΕΕ L347/221).</w:t>
      </w:r>
    </w:p>
  </w:footnote>
  <w:footnote w:id="3">
    <w:p w:rsidR="00DF6419" w:rsidRPr="009368AA" w:rsidRDefault="00DF6419" w:rsidP="00DF6419">
      <w:pPr>
        <w:pStyle w:val="a7"/>
      </w:pPr>
      <w:r>
        <w:rPr>
          <w:rStyle w:val="a8"/>
        </w:rPr>
        <w:footnoteRef/>
      </w:r>
      <w:r>
        <w:rPr>
          <w:sz w:val="16"/>
        </w:rPr>
        <w:t xml:space="preserve"> Δημοσιεύθηκε στην Επίσημη Εφημερίδα της Ευρωπαϊκής Ένωσης στις 27/06/2014 (ΕΕ L189/260).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780A"/>
    <w:multiLevelType w:val="hybridMultilevel"/>
    <w:tmpl w:val="D2B63014"/>
    <w:lvl w:ilvl="0" w:tplc="1256CA5A">
      <w:start w:val="18"/>
      <w:numFmt w:val="bullet"/>
      <w:lvlText w:val="-"/>
      <w:lvlJc w:val="left"/>
      <w:pPr>
        <w:ind w:left="720" w:hanging="360"/>
      </w:pPr>
      <w:rPr>
        <w:rFonts w:ascii="Arial" w:eastAsia="Times New Roman" w:hAnsi="Arial" w:hint="default"/>
      </w:rPr>
    </w:lvl>
    <w:lvl w:ilvl="1" w:tplc="1256CA5A">
      <w:start w:val="18"/>
      <w:numFmt w:val="bullet"/>
      <w:lvlText w:val="-"/>
      <w:lvlJc w:val="left"/>
      <w:pPr>
        <w:ind w:left="1440" w:hanging="360"/>
      </w:pPr>
      <w:rPr>
        <w:rFonts w:ascii="Arial" w:eastAsia="Times New Roman" w:hAnsi="Aria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1CA17FDF"/>
    <w:multiLevelType w:val="hybridMultilevel"/>
    <w:tmpl w:val="FB4E6986"/>
    <w:lvl w:ilvl="0" w:tplc="FDC057E2">
      <w:start w:val="1"/>
      <w:numFmt w:val="decimal"/>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25BC4E2F"/>
    <w:multiLevelType w:val="hybridMultilevel"/>
    <w:tmpl w:val="2AD0CCD2"/>
    <w:lvl w:ilvl="0" w:tplc="1256CA5A">
      <w:start w:val="18"/>
      <w:numFmt w:val="bullet"/>
      <w:lvlText w:val="-"/>
      <w:lvlJc w:val="left"/>
      <w:pPr>
        <w:ind w:left="720" w:hanging="360"/>
      </w:pPr>
      <w:rPr>
        <w:rFonts w:ascii="Arial" w:eastAsia="Times New Roman" w:hAnsi="Aria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nsid w:val="2EAC2DF1"/>
    <w:multiLevelType w:val="hybridMultilevel"/>
    <w:tmpl w:val="40F095C6"/>
    <w:lvl w:ilvl="0" w:tplc="39CE0A20">
      <w:start w:val="3"/>
      <w:numFmt w:val="decimal"/>
      <w:lvlText w:val="%1."/>
      <w:lvlJc w:val="left"/>
      <w:pPr>
        <w:ind w:left="720" w:hanging="360"/>
      </w:pPr>
      <w:rPr>
        <w:rFonts w:hint="default"/>
      </w:rPr>
    </w:lvl>
    <w:lvl w:ilvl="1" w:tplc="38AA61E4">
      <w:start w:val="3"/>
      <w:numFmt w:val="bullet"/>
      <w:lvlText w:val="-"/>
      <w:lvlJc w:val="left"/>
      <w:pPr>
        <w:ind w:left="1440" w:hanging="360"/>
      </w:pPr>
      <w:rPr>
        <w:rFonts w:ascii="Times New Roman" w:eastAsia="Calibri" w:hAnsi="Times New Roman" w:cs="Times New Roman"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nsid w:val="30C364A5"/>
    <w:multiLevelType w:val="hybridMultilevel"/>
    <w:tmpl w:val="9D0C416E"/>
    <w:lvl w:ilvl="0" w:tplc="4E347E8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8C0554"/>
    <w:multiLevelType w:val="hybridMultilevel"/>
    <w:tmpl w:val="12A0E58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nsid w:val="391B7A0E"/>
    <w:multiLevelType w:val="hybridMultilevel"/>
    <w:tmpl w:val="D74C12D6"/>
    <w:lvl w:ilvl="0" w:tplc="0E74D012">
      <w:numFmt w:val="bullet"/>
      <w:lvlText w:val="−"/>
      <w:lvlJc w:val="left"/>
      <w:pPr>
        <w:ind w:left="2008" w:hanging="360"/>
      </w:pPr>
      <w:rPr>
        <w:rFonts w:ascii="Times" w:eastAsia="Times New Roman" w:hAnsi="Times" w:cs="Times New Roman" w:hint="default"/>
      </w:rPr>
    </w:lvl>
    <w:lvl w:ilvl="1" w:tplc="08090003">
      <w:start w:val="1"/>
      <w:numFmt w:val="bullet"/>
      <w:lvlText w:val="o"/>
      <w:lvlJc w:val="left"/>
      <w:pPr>
        <w:ind w:left="2728" w:hanging="360"/>
      </w:pPr>
      <w:rPr>
        <w:rFonts w:ascii="Courier New" w:hAnsi="Courier New" w:cs="Times New Roman" w:hint="default"/>
      </w:rPr>
    </w:lvl>
    <w:lvl w:ilvl="2" w:tplc="08090005">
      <w:start w:val="1"/>
      <w:numFmt w:val="bullet"/>
      <w:lvlText w:val=""/>
      <w:lvlJc w:val="left"/>
      <w:pPr>
        <w:ind w:left="3448" w:hanging="360"/>
      </w:pPr>
      <w:rPr>
        <w:rFonts w:ascii="Wingdings" w:hAnsi="Wingdings" w:hint="default"/>
      </w:rPr>
    </w:lvl>
    <w:lvl w:ilvl="3" w:tplc="08090001">
      <w:start w:val="1"/>
      <w:numFmt w:val="bullet"/>
      <w:lvlText w:val=""/>
      <w:lvlJc w:val="left"/>
      <w:pPr>
        <w:ind w:left="4168" w:hanging="360"/>
      </w:pPr>
      <w:rPr>
        <w:rFonts w:ascii="Symbol" w:hAnsi="Symbol" w:hint="default"/>
      </w:rPr>
    </w:lvl>
    <w:lvl w:ilvl="4" w:tplc="08090003">
      <w:start w:val="1"/>
      <w:numFmt w:val="bullet"/>
      <w:lvlText w:val="o"/>
      <w:lvlJc w:val="left"/>
      <w:pPr>
        <w:ind w:left="4888" w:hanging="360"/>
      </w:pPr>
      <w:rPr>
        <w:rFonts w:ascii="Courier New" w:hAnsi="Courier New" w:cs="Times New Roman" w:hint="default"/>
      </w:rPr>
    </w:lvl>
    <w:lvl w:ilvl="5" w:tplc="08090005">
      <w:start w:val="1"/>
      <w:numFmt w:val="bullet"/>
      <w:lvlText w:val=""/>
      <w:lvlJc w:val="left"/>
      <w:pPr>
        <w:ind w:left="5608" w:hanging="360"/>
      </w:pPr>
      <w:rPr>
        <w:rFonts w:ascii="Wingdings" w:hAnsi="Wingdings" w:hint="default"/>
      </w:rPr>
    </w:lvl>
    <w:lvl w:ilvl="6" w:tplc="08090001">
      <w:start w:val="1"/>
      <w:numFmt w:val="bullet"/>
      <w:lvlText w:val=""/>
      <w:lvlJc w:val="left"/>
      <w:pPr>
        <w:ind w:left="6328" w:hanging="360"/>
      </w:pPr>
      <w:rPr>
        <w:rFonts w:ascii="Symbol" w:hAnsi="Symbol" w:hint="default"/>
      </w:rPr>
    </w:lvl>
    <w:lvl w:ilvl="7" w:tplc="08090003">
      <w:start w:val="1"/>
      <w:numFmt w:val="bullet"/>
      <w:lvlText w:val="o"/>
      <w:lvlJc w:val="left"/>
      <w:pPr>
        <w:ind w:left="7048" w:hanging="360"/>
      </w:pPr>
      <w:rPr>
        <w:rFonts w:ascii="Courier New" w:hAnsi="Courier New" w:cs="Times New Roman" w:hint="default"/>
      </w:rPr>
    </w:lvl>
    <w:lvl w:ilvl="8" w:tplc="08090005">
      <w:start w:val="1"/>
      <w:numFmt w:val="bullet"/>
      <w:lvlText w:val=""/>
      <w:lvlJc w:val="left"/>
      <w:pPr>
        <w:ind w:left="7768" w:hanging="360"/>
      </w:pPr>
      <w:rPr>
        <w:rFonts w:ascii="Wingdings" w:hAnsi="Wingdings" w:hint="default"/>
      </w:rPr>
    </w:lvl>
  </w:abstractNum>
  <w:abstractNum w:abstractNumId="7">
    <w:nsid w:val="3F9E5B07"/>
    <w:multiLevelType w:val="hybridMultilevel"/>
    <w:tmpl w:val="E6ECA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4DBF6AA5"/>
    <w:multiLevelType w:val="hybridMultilevel"/>
    <w:tmpl w:val="BDE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E3AEE"/>
    <w:multiLevelType w:val="hybridMultilevel"/>
    <w:tmpl w:val="E0C0C8FE"/>
    <w:lvl w:ilvl="0" w:tplc="4E347E8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B9F32E5"/>
    <w:multiLevelType w:val="hybridMultilevel"/>
    <w:tmpl w:val="8936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6C0ABB"/>
    <w:multiLevelType w:val="hybridMultilevel"/>
    <w:tmpl w:val="AE6C01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7DC410D1"/>
    <w:multiLevelType w:val="hybridMultilevel"/>
    <w:tmpl w:val="91B8C9F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Times New Roman"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Times New Roman"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Times New Roman" w:hint="default"/>
      </w:rPr>
    </w:lvl>
    <w:lvl w:ilvl="8" w:tplc="08090005">
      <w:start w:val="1"/>
      <w:numFmt w:val="bullet"/>
      <w:lvlText w:val=""/>
      <w:lvlJc w:val="left"/>
      <w:pPr>
        <w:ind w:left="9360"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6"/>
  </w:num>
  <w:num w:numId="6">
    <w:abstractNumId w:val="12"/>
  </w:num>
  <w:num w:numId="7">
    <w:abstractNumId w:val="6"/>
  </w:num>
  <w:num w:numId="8">
    <w:abstractNumId w:val="8"/>
  </w:num>
  <w:num w:numId="9">
    <w:abstractNumId w:val="10"/>
  </w:num>
  <w:num w:numId="10">
    <w:abstractNumId w:val="3"/>
  </w:num>
  <w:num w:numId="11">
    <w:abstractNumId w:val="2"/>
  </w:num>
  <w:num w:numId="12">
    <w:abstractNumId w:val="0"/>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0855C8"/>
    <w:rsid w:val="00003763"/>
    <w:rsid w:val="00036098"/>
    <w:rsid w:val="0003782E"/>
    <w:rsid w:val="00046C9E"/>
    <w:rsid w:val="000476BB"/>
    <w:rsid w:val="0005565E"/>
    <w:rsid w:val="00055AB4"/>
    <w:rsid w:val="00061569"/>
    <w:rsid w:val="000749EA"/>
    <w:rsid w:val="000855C8"/>
    <w:rsid w:val="000963F4"/>
    <w:rsid w:val="000C0B98"/>
    <w:rsid w:val="000D0A56"/>
    <w:rsid w:val="000F73B9"/>
    <w:rsid w:val="00104654"/>
    <w:rsid w:val="00116133"/>
    <w:rsid w:val="00122A7F"/>
    <w:rsid w:val="00135682"/>
    <w:rsid w:val="001438D8"/>
    <w:rsid w:val="001462A1"/>
    <w:rsid w:val="00147BB1"/>
    <w:rsid w:val="0015611F"/>
    <w:rsid w:val="001723BC"/>
    <w:rsid w:val="00183D9D"/>
    <w:rsid w:val="001A3550"/>
    <w:rsid w:val="001B50F5"/>
    <w:rsid w:val="001B7656"/>
    <w:rsid w:val="002110B2"/>
    <w:rsid w:val="00221FFE"/>
    <w:rsid w:val="002346E9"/>
    <w:rsid w:val="0024057C"/>
    <w:rsid w:val="00243A41"/>
    <w:rsid w:val="00245FDB"/>
    <w:rsid w:val="00250A9D"/>
    <w:rsid w:val="00257EC1"/>
    <w:rsid w:val="002707DD"/>
    <w:rsid w:val="002842CB"/>
    <w:rsid w:val="002A040D"/>
    <w:rsid w:val="002A0B9E"/>
    <w:rsid w:val="002A4FD0"/>
    <w:rsid w:val="002B1284"/>
    <w:rsid w:val="002B6FF4"/>
    <w:rsid w:val="002C2E10"/>
    <w:rsid w:val="002C74CB"/>
    <w:rsid w:val="002D1DD0"/>
    <w:rsid w:val="002D39EA"/>
    <w:rsid w:val="002F1F9B"/>
    <w:rsid w:val="00316868"/>
    <w:rsid w:val="003213B7"/>
    <w:rsid w:val="00323009"/>
    <w:rsid w:val="00327E52"/>
    <w:rsid w:val="0034588A"/>
    <w:rsid w:val="00347BE9"/>
    <w:rsid w:val="00354184"/>
    <w:rsid w:val="003753D9"/>
    <w:rsid w:val="00383280"/>
    <w:rsid w:val="003A2A08"/>
    <w:rsid w:val="003D45F1"/>
    <w:rsid w:val="003E7148"/>
    <w:rsid w:val="003F4CE7"/>
    <w:rsid w:val="00411995"/>
    <w:rsid w:val="00414C86"/>
    <w:rsid w:val="00423684"/>
    <w:rsid w:val="00434D74"/>
    <w:rsid w:val="004404E8"/>
    <w:rsid w:val="004422D0"/>
    <w:rsid w:val="004438BA"/>
    <w:rsid w:val="00443E8A"/>
    <w:rsid w:val="004448E9"/>
    <w:rsid w:val="004618E6"/>
    <w:rsid w:val="00494C33"/>
    <w:rsid w:val="004A024F"/>
    <w:rsid w:val="004C5F76"/>
    <w:rsid w:val="004C746F"/>
    <w:rsid w:val="004C7D98"/>
    <w:rsid w:val="00513D3B"/>
    <w:rsid w:val="0052356C"/>
    <w:rsid w:val="00525F54"/>
    <w:rsid w:val="00530A46"/>
    <w:rsid w:val="0057209C"/>
    <w:rsid w:val="00574A1D"/>
    <w:rsid w:val="00580D17"/>
    <w:rsid w:val="005864C2"/>
    <w:rsid w:val="005A4CD8"/>
    <w:rsid w:val="005A70B3"/>
    <w:rsid w:val="005B67BD"/>
    <w:rsid w:val="005C5E29"/>
    <w:rsid w:val="005E62A2"/>
    <w:rsid w:val="005E6413"/>
    <w:rsid w:val="005F0545"/>
    <w:rsid w:val="005F7F3A"/>
    <w:rsid w:val="0062350B"/>
    <w:rsid w:val="0062603B"/>
    <w:rsid w:val="00630BA3"/>
    <w:rsid w:val="006367DD"/>
    <w:rsid w:val="006771AA"/>
    <w:rsid w:val="00684078"/>
    <w:rsid w:val="00687031"/>
    <w:rsid w:val="0069688D"/>
    <w:rsid w:val="006C76A8"/>
    <w:rsid w:val="006D73A9"/>
    <w:rsid w:val="006E48CA"/>
    <w:rsid w:val="006F68BC"/>
    <w:rsid w:val="0071567C"/>
    <w:rsid w:val="00723856"/>
    <w:rsid w:val="007248A5"/>
    <w:rsid w:val="00743E90"/>
    <w:rsid w:val="00746CFB"/>
    <w:rsid w:val="00770401"/>
    <w:rsid w:val="0077737A"/>
    <w:rsid w:val="007B2BCF"/>
    <w:rsid w:val="007B6E39"/>
    <w:rsid w:val="007C2BC3"/>
    <w:rsid w:val="007F58BB"/>
    <w:rsid w:val="00806A84"/>
    <w:rsid w:val="00807C4B"/>
    <w:rsid w:val="008123E8"/>
    <w:rsid w:val="00820682"/>
    <w:rsid w:val="00835921"/>
    <w:rsid w:val="00845029"/>
    <w:rsid w:val="0087201E"/>
    <w:rsid w:val="0087403A"/>
    <w:rsid w:val="00875278"/>
    <w:rsid w:val="008944B8"/>
    <w:rsid w:val="00895F15"/>
    <w:rsid w:val="008B0C4C"/>
    <w:rsid w:val="008C57C4"/>
    <w:rsid w:val="008C7F41"/>
    <w:rsid w:val="008E0400"/>
    <w:rsid w:val="008E4D4E"/>
    <w:rsid w:val="008E6375"/>
    <w:rsid w:val="00905449"/>
    <w:rsid w:val="009147FD"/>
    <w:rsid w:val="00934E2C"/>
    <w:rsid w:val="00941A95"/>
    <w:rsid w:val="009453D0"/>
    <w:rsid w:val="00953614"/>
    <w:rsid w:val="0096476E"/>
    <w:rsid w:val="009772B0"/>
    <w:rsid w:val="00980C1E"/>
    <w:rsid w:val="00980F61"/>
    <w:rsid w:val="0098410E"/>
    <w:rsid w:val="009A4F03"/>
    <w:rsid w:val="009C03D9"/>
    <w:rsid w:val="009C3BC3"/>
    <w:rsid w:val="009C5633"/>
    <w:rsid w:val="009D6F04"/>
    <w:rsid w:val="009E6B64"/>
    <w:rsid w:val="009F5EBF"/>
    <w:rsid w:val="00A01DA0"/>
    <w:rsid w:val="00A07DF4"/>
    <w:rsid w:val="00A110EA"/>
    <w:rsid w:val="00A21468"/>
    <w:rsid w:val="00A30300"/>
    <w:rsid w:val="00A37EB9"/>
    <w:rsid w:val="00A41A14"/>
    <w:rsid w:val="00A4667C"/>
    <w:rsid w:val="00A56927"/>
    <w:rsid w:val="00A90FA8"/>
    <w:rsid w:val="00A941D7"/>
    <w:rsid w:val="00AB0B5A"/>
    <w:rsid w:val="00AC107C"/>
    <w:rsid w:val="00B11E0F"/>
    <w:rsid w:val="00B121BC"/>
    <w:rsid w:val="00B31CD2"/>
    <w:rsid w:val="00B31EB4"/>
    <w:rsid w:val="00B41508"/>
    <w:rsid w:val="00B46A4A"/>
    <w:rsid w:val="00B61A28"/>
    <w:rsid w:val="00B7685E"/>
    <w:rsid w:val="00B91F0C"/>
    <w:rsid w:val="00B923CD"/>
    <w:rsid w:val="00BA289B"/>
    <w:rsid w:val="00BB3889"/>
    <w:rsid w:val="00BC62E9"/>
    <w:rsid w:val="00BD0BDF"/>
    <w:rsid w:val="00BD37E6"/>
    <w:rsid w:val="00BE45DE"/>
    <w:rsid w:val="00C00A6D"/>
    <w:rsid w:val="00C033A5"/>
    <w:rsid w:val="00C07962"/>
    <w:rsid w:val="00C230F3"/>
    <w:rsid w:val="00C346D0"/>
    <w:rsid w:val="00C50FA0"/>
    <w:rsid w:val="00C52086"/>
    <w:rsid w:val="00C6297A"/>
    <w:rsid w:val="00C63546"/>
    <w:rsid w:val="00C81C11"/>
    <w:rsid w:val="00C8373B"/>
    <w:rsid w:val="00C905A1"/>
    <w:rsid w:val="00C905A4"/>
    <w:rsid w:val="00C90ECB"/>
    <w:rsid w:val="00C96D34"/>
    <w:rsid w:val="00C9745B"/>
    <w:rsid w:val="00CC7636"/>
    <w:rsid w:val="00CC7A53"/>
    <w:rsid w:val="00CD42C8"/>
    <w:rsid w:val="00CE4616"/>
    <w:rsid w:val="00D05FF5"/>
    <w:rsid w:val="00D07D7D"/>
    <w:rsid w:val="00D11CC0"/>
    <w:rsid w:val="00D15870"/>
    <w:rsid w:val="00D31662"/>
    <w:rsid w:val="00D432F0"/>
    <w:rsid w:val="00D433FD"/>
    <w:rsid w:val="00D45422"/>
    <w:rsid w:val="00D926FD"/>
    <w:rsid w:val="00DA1B16"/>
    <w:rsid w:val="00DA5A82"/>
    <w:rsid w:val="00DC357F"/>
    <w:rsid w:val="00DF63A5"/>
    <w:rsid w:val="00DF6419"/>
    <w:rsid w:val="00E101C2"/>
    <w:rsid w:val="00E1253A"/>
    <w:rsid w:val="00E13521"/>
    <w:rsid w:val="00E20E0D"/>
    <w:rsid w:val="00E24B90"/>
    <w:rsid w:val="00E25379"/>
    <w:rsid w:val="00E304AA"/>
    <w:rsid w:val="00E30D8F"/>
    <w:rsid w:val="00E365D4"/>
    <w:rsid w:val="00E408EC"/>
    <w:rsid w:val="00E444F0"/>
    <w:rsid w:val="00E525F5"/>
    <w:rsid w:val="00E52C1F"/>
    <w:rsid w:val="00E54E77"/>
    <w:rsid w:val="00E95235"/>
    <w:rsid w:val="00E978E9"/>
    <w:rsid w:val="00EA1E38"/>
    <w:rsid w:val="00EA2169"/>
    <w:rsid w:val="00EB32F4"/>
    <w:rsid w:val="00EB75A5"/>
    <w:rsid w:val="00EC3641"/>
    <w:rsid w:val="00EC38E3"/>
    <w:rsid w:val="00EC63C1"/>
    <w:rsid w:val="00ED318F"/>
    <w:rsid w:val="00EF3D64"/>
    <w:rsid w:val="00F07A2D"/>
    <w:rsid w:val="00F111A6"/>
    <w:rsid w:val="00F1532B"/>
    <w:rsid w:val="00F26C8D"/>
    <w:rsid w:val="00F36BAA"/>
    <w:rsid w:val="00F3710E"/>
    <w:rsid w:val="00F41E94"/>
    <w:rsid w:val="00F76061"/>
    <w:rsid w:val="00F911A6"/>
    <w:rsid w:val="00F93F26"/>
    <w:rsid w:val="00FA7093"/>
    <w:rsid w:val="00FC1F75"/>
    <w:rsid w:val="00FF00EA"/>
    <w:rsid w:val="00FF63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FA8"/>
    <w:rPr>
      <w:rFonts w:ascii="Arial" w:hAnsi="Arial"/>
      <w:sz w:val="22"/>
      <w:szCs w:val="22"/>
    </w:rPr>
  </w:style>
  <w:style w:type="paragraph" w:styleId="1">
    <w:name w:val="heading 1"/>
    <w:basedOn w:val="a"/>
    <w:next w:val="a"/>
    <w:link w:val="1Char"/>
    <w:qFormat/>
    <w:rsid w:val="00A110EA"/>
    <w:pPr>
      <w:keepNext/>
      <w:spacing w:before="240" w:after="60"/>
      <w:outlineLvl w:val="0"/>
    </w:pPr>
    <w:rPr>
      <w:rFonts w:ascii="Cambria" w:hAnsi="Cambria"/>
      <w:b/>
      <w:bCs/>
      <w:kern w:val="32"/>
      <w:sz w:val="32"/>
      <w:szCs w:val="32"/>
    </w:rPr>
  </w:style>
  <w:style w:type="paragraph" w:styleId="2">
    <w:name w:val="heading 2"/>
    <w:basedOn w:val="a"/>
    <w:next w:val="a"/>
    <w:link w:val="2Char"/>
    <w:semiHidden/>
    <w:unhideWhenUsed/>
    <w:qFormat/>
    <w:rsid w:val="004422D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6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a"/>
    <w:rsid w:val="00684078"/>
    <w:pPr>
      <w:spacing w:after="240"/>
      <w:ind w:left="482"/>
      <w:jc w:val="both"/>
    </w:pPr>
    <w:rPr>
      <w:rFonts w:ascii="Times New Roman" w:hAnsi="Times New Roman"/>
      <w:sz w:val="24"/>
      <w:szCs w:val="20"/>
    </w:rPr>
  </w:style>
  <w:style w:type="character" w:styleId="-">
    <w:name w:val="Hyperlink"/>
    <w:rsid w:val="00C346D0"/>
    <w:rPr>
      <w:color w:val="0000FF"/>
      <w:u w:val="single"/>
    </w:rPr>
  </w:style>
  <w:style w:type="paragraph" w:styleId="a4">
    <w:name w:val="Balloon Text"/>
    <w:basedOn w:val="a"/>
    <w:semiHidden/>
    <w:rsid w:val="00F111A6"/>
    <w:rPr>
      <w:rFonts w:ascii="Tahoma" w:hAnsi="Tahoma" w:cs="Tahoma"/>
      <w:sz w:val="16"/>
      <w:szCs w:val="16"/>
    </w:rPr>
  </w:style>
  <w:style w:type="paragraph" w:styleId="a5">
    <w:name w:val="header"/>
    <w:basedOn w:val="a"/>
    <w:rsid w:val="004618E6"/>
    <w:pPr>
      <w:tabs>
        <w:tab w:val="center" w:pos="4536"/>
        <w:tab w:val="right" w:pos="9072"/>
      </w:tabs>
    </w:pPr>
  </w:style>
  <w:style w:type="paragraph" w:styleId="a6">
    <w:name w:val="footer"/>
    <w:basedOn w:val="a"/>
    <w:link w:val="Char"/>
    <w:uiPriority w:val="99"/>
    <w:rsid w:val="004618E6"/>
    <w:pPr>
      <w:tabs>
        <w:tab w:val="center" w:pos="4536"/>
        <w:tab w:val="right" w:pos="9072"/>
      </w:tabs>
    </w:pPr>
  </w:style>
  <w:style w:type="character" w:styleId="-0">
    <w:name w:val="FollowedHyperlink"/>
    <w:rsid w:val="005A70B3"/>
    <w:rPr>
      <w:color w:val="800080"/>
      <w:u w:val="single"/>
    </w:rPr>
  </w:style>
  <w:style w:type="paragraph" w:styleId="a7">
    <w:name w:val="footnote text"/>
    <w:aliases w:val="Schriftart: 9 pt,Schriftart: 10 pt,Schriftart: 8 pt,WB-Fußnotentext,Tekst przypisu"/>
    <w:basedOn w:val="a"/>
    <w:link w:val="Char0"/>
    <w:rsid w:val="00316868"/>
    <w:rPr>
      <w:rFonts w:ascii="Times New Roman" w:hAnsi="Times New Roman"/>
      <w:sz w:val="20"/>
      <w:szCs w:val="20"/>
    </w:rPr>
  </w:style>
  <w:style w:type="character" w:customStyle="1" w:styleId="Char0">
    <w:name w:val="Κείμενο υποσημείωσης Char"/>
    <w:aliases w:val="Schriftart: 9 pt Char,Schriftart: 10 pt Char,Schriftart: 8 pt Char,WB-Fußnotentext Char,Tekst przypisu Char"/>
    <w:basedOn w:val="a0"/>
    <w:link w:val="a7"/>
    <w:rsid w:val="00316868"/>
  </w:style>
  <w:style w:type="character" w:styleId="a8">
    <w:name w:val="footnote reference"/>
    <w:aliases w:val="Odwołanie przypisu,Footnote symbol"/>
    <w:uiPriority w:val="99"/>
    <w:rsid w:val="00316868"/>
    <w:rPr>
      <w:rFonts w:cs="Times New Roman"/>
      <w:vertAlign w:val="superscript"/>
    </w:rPr>
  </w:style>
  <w:style w:type="paragraph" w:customStyle="1" w:styleId="PointManual1">
    <w:name w:val="Point Manual (1)"/>
    <w:basedOn w:val="a"/>
    <w:rsid w:val="00316868"/>
    <w:pPr>
      <w:spacing w:before="120" w:after="120" w:line="360" w:lineRule="auto"/>
      <w:ind w:left="1134" w:hanging="567"/>
      <w:outlineLvl w:val="0"/>
    </w:pPr>
    <w:rPr>
      <w:rFonts w:ascii="Times New Roman" w:hAnsi="Times New Roman"/>
      <w:sz w:val="24"/>
      <w:szCs w:val="24"/>
    </w:rPr>
  </w:style>
  <w:style w:type="paragraph" w:styleId="a9">
    <w:name w:val="List Paragraph"/>
    <w:basedOn w:val="a"/>
    <w:uiPriority w:val="34"/>
    <w:qFormat/>
    <w:rsid w:val="00055AB4"/>
    <w:pPr>
      <w:ind w:left="720"/>
      <w:contextualSpacing/>
    </w:pPr>
    <w:rPr>
      <w:rFonts w:ascii="Times New Roman" w:hAnsi="Times New Roman"/>
      <w:sz w:val="24"/>
      <w:szCs w:val="24"/>
    </w:rPr>
  </w:style>
  <w:style w:type="paragraph" w:customStyle="1" w:styleId="SectionTitle">
    <w:name w:val="SectionTitle"/>
    <w:basedOn w:val="a"/>
    <w:next w:val="1"/>
    <w:rsid w:val="00A110EA"/>
    <w:pPr>
      <w:keepNext/>
      <w:spacing w:after="480"/>
      <w:jc w:val="center"/>
    </w:pPr>
    <w:rPr>
      <w:rFonts w:ascii="Times New Roman" w:hAnsi="Times New Roman"/>
      <w:b/>
      <w:smallCaps/>
      <w:sz w:val="28"/>
      <w:szCs w:val="20"/>
    </w:rPr>
  </w:style>
  <w:style w:type="character" w:customStyle="1" w:styleId="1Char">
    <w:name w:val="Επικεφαλίδα 1 Char"/>
    <w:link w:val="1"/>
    <w:rsid w:val="00A110EA"/>
    <w:rPr>
      <w:rFonts w:ascii="Cambria" w:eastAsia="Times New Roman" w:hAnsi="Cambria" w:cs="Times New Roman"/>
      <w:b/>
      <w:bCs/>
      <w:kern w:val="32"/>
      <w:sz w:val="32"/>
      <w:szCs w:val="32"/>
      <w:lang w:eastAsia="el-GR"/>
    </w:rPr>
  </w:style>
  <w:style w:type="character" w:customStyle="1" w:styleId="2Char">
    <w:name w:val="Επικεφαλίδα 2 Char"/>
    <w:link w:val="2"/>
    <w:semiHidden/>
    <w:rsid w:val="004422D0"/>
    <w:rPr>
      <w:rFonts w:ascii="Cambria" w:eastAsia="Times New Roman" w:hAnsi="Cambria" w:cs="Times New Roman"/>
      <w:b/>
      <w:bCs/>
      <w:i/>
      <w:iCs/>
      <w:sz w:val="28"/>
      <w:szCs w:val="28"/>
      <w:lang w:eastAsia="el-GR"/>
    </w:rPr>
  </w:style>
  <w:style w:type="character" w:customStyle="1" w:styleId="Char">
    <w:name w:val="Υποσέλιδο Char"/>
    <w:link w:val="a6"/>
    <w:uiPriority w:val="99"/>
    <w:rsid w:val="00FF00EA"/>
    <w:rPr>
      <w:rFonts w:ascii="Arial" w:hAnsi="Arial"/>
      <w:sz w:val="22"/>
      <w:szCs w:val="22"/>
      <w:lang w:eastAsia="el-GR"/>
    </w:rPr>
  </w:style>
  <w:style w:type="paragraph" w:customStyle="1" w:styleId="Tiretcourt">
    <w:name w:val="Tiret court"/>
    <w:basedOn w:val="a"/>
    <w:rsid w:val="00EC63C1"/>
    <w:pPr>
      <w:spacing w:after="120"/>
      <w:jc w:val="both"/>
    </w:pPr>
    <w:rPr>
      <w:rFonts w:ascii="Times New Roman" w:eastAsia="Calibri" w:hAnsi="Times New Roman"/>
    </w:rPr>
  </w:style>
  <w:style w:type="paragraph" w:customStyle="1" w:styleId="ListNumber1">
    <w:name w:val="List Number1"/>
    <w:basedOn w:val="a"/>
    <w:rsid w:val="00EC63C1"/>
    <w:pPr>
      <w:jc w:val="both"/>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A110E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422D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684078"/>
    <w:pPr>
      <w:spacing w:after="240"/>
      <w:ind w:left="482"/>
      <w:jc w:val="both"/>
    </w:pPr>
    <w:rPr>
      <w:rFonts w:ascii="Times New Roman" w:hAnsi="Times New Roman"/>
      <w:sz w:val="24"/>
      <w:szCs w:val="20"/>
    </w:rPr>
  </w:style>
  <w:style w:type="character" w:styleId="Hyperlink">
    <w:name w:val="Hyperlink"/>
    <w:rsid w:val="00C346D0"/>
    <w:rPr>
      <w:color w:val="0000FF"/>
      <w:u w:val="single"/>
    </w:rPr>
  </w:style>
  <w:style w:type="paragraph" w:styleId="BalloonText">
    <w:name w:val="Balloon Text"/>
    <w:basedOn w:val="Normal"/>
    <w:semiHidden/>
    <w:rsid w:val="00F111A6"/>
    <w:rPr>
      <w:rFonts w:ascii="Tahoma" w:hAnsi="Tahoma" w:cs="Tahoma"/>
      <w:sz w:val="16"/>
      <w:szCs w:val="16"/>
    </w:rPr>
  </w:style>
  <w:style w:type="paragraph" w:styleId="Header">
    <w:name w:val="header"/>
    <w:basedOn w:val="Normal"/>
    <w:rsid w:val="004618E6"/>
    <w:pPr>
      <w:tabs>
        <w:tab w:val="center" w:pos="4536"/>
        <w:tab w:val="right" w:pos="9072"/>
      </w:tabs>
    </w:pPr>
  </w:style>
  <w:style w:type="paragraph" w:styleId="Footer">
    <w:name w:val="footer"/>
    <w:basedOn w:val="Normal"/>
    <w:link w:val="FooterChar"/>
    <w:uiPriority w:val="99"/>
    <w:rsid w:val="004618E6"/>
    <w:pPr>
      <w:tabs>
        <w:tab w:val="center" w:pos="4536"/>
        <w:tab w:val="right" w:pos="9072"/>
      </w:tabs>
    </w:pPr>
  </w:style>
  <w:style w:type="character" w:styleId="FollowedHyperlink">
    <w:name w:val="FollowedHyperlink"/>
    <w:rsid w:val="005A70B3"/>
    <w:rPr>
      <w:color w:val="800080"/>
      <w:u w:val="single"/>
    </w:rPr>
  </w:style>
  <w:style w:type="paragraph" w:styleId="FootnoteText">
    <w:name w:val="footnote text"/>
    <w:aliases w:val="Schriftart: 9 pt,Schriftart: 10 pt,Schriftart: 8 pt,WB-Fußnotentext,Tekst przypisu"/>
    <w:basedOn w:val="Normal"/>
    <w:link w:val="FootnoteTextChar"/>
    <w:rsid w:val="00316868"/>
    <w:rPr>
      <w:rFonts w:ascii="Times New Roman" w:hAnsi="Times New Roman"/>
      <w:sz w:val="20"/>
      <w:szCs w:val="20"/>
    </w:rPr>
  </w:style>
  <w:style w:type="character" w:customStyle="1" w:styleId="FootnoteTextChar">
    <w:name w:val="Footnote Text Char"/>
    <w:aliases w:val="Schriftart: 9 pt Char,Schriftart: 10 pt Char,Schriftart: 8 pt Char,WB-Fußnotentext Char,Tekst przypisu Char"/>
    <w:basedOn w:val="DefaultParagraphFont"/>
    <w:link w:val="FootnoteText"/>
    <w:rsid w:val="00316868"/>
  </w:style>
  <w:style w:type="character" w:styleId="FootnoteReference">
    <w:name w:val="footnote reference"/>
    <w:aliases w:val="Odwołanie przypisu,Footnote symbol"/>
    <w:uiPriority w:val="99"/>
    <w:rsid w:val="00316868"/>
    <w:rPr>
      <w:rFonts w:cs="Times New Roman"/>
      <w:vertAlign w:val="superscript"/>
    </w:rPr>
  </w:style>
  <w:style w:type="paragraph" w:customStyle="1" w:styleId="PointManual1">
    <w:name w:val="Point Manual (1)"/>
    <w:basedOn w:val="Normal"/>
    <w:rsid w:val="00316868"/>
    <w:pPr>
      <w:spacing w:before="120" w:after="120" w:line="360" w:lineRule="auto"/>
      <w:ind w:left="1134" w:hanging="567"/>
      <w:outlineLvl w:val="0"/>
    </w:pPr>
    <w:rPr>
      <w:rFonts w:ascii="Times New Roman" w:hAnsi="Times New Roman"/>
      <w:sz w:val="24"/>
      <w:szCs w:val="24"/>
    </w:rPr>
  </w:style>
  <w:style w:type="paragraph" w:styleId="ListParagraph">
    <w:name w:val="List Paragraph"/>
    <w:basedOn w:val="Normal"/>
    <w:uiPriority w:val="34"/>
    <w:qFormat/>
    <w:rsid w:val="00055AB4"/>
    <w:pPr>
      <w:ind w:left="720"/>
      <w:contextualSpacing/>
    </w:pPr>
    <w:rPr>
      <w:rFonts w:ascii="Times New Roman" w:hAnsi="Times New Roman"/>
      <w:sz w:val="24"/>
      <w:szCs w:val="24"/>
    </w:rPr>
  </w:style>
  <w:style w:type="paragraph" w:customStyle="1" w:styleId="SectionTitle">
    <w:name w:val="SectionTitle"/>
    <w:basedOn w:val="Normal"/>
    <w:next w:val="Heading1"/>
    <w:rsid w:val="00A110EA"/>
    <w:pPr>
      <w:keepNext/>
      <w:spacing w:after="480"/>
      <w:jc w:val="center"/>
    </w:pPr>
    <w:rPr>
      <w:rFonts w:ascii="Times New Roman" w:hAnsi="Times New Roman"/>
      <w:b/>
      <w:smallCaps/>
      <w:sz w:val="28"/>
      <w:szCs w:val="20"/>
    </w:rPr>
  </w:style>
  <w:style w:type="character" w:customStyle="1" w:styleId="Heading1Char">
    <w:name w:val="Heading 1 Char"/>
    <w:link w:val="Heading1"/>
    <w:rsid w:val="00A110EA"/>
    <w:rPr>
      <w:rFonts w:ascii="Cambria" w:eastAsia="Times New Roman" w:hAnsi="Cambria" w:cs="Times New Roman"/>
      <w:b/>
      <w:bCs/>
      <w:kern w:val="32"/>
      <w:sz w:val="32"/>
      <w:szCs w:val="32"/>
      <w:lang w:eastAsia="el-GR"/>
    </w:rPr>
  </w:style>
  <w:style w:type="character" w:customStyle="1" w:styleId="Heading2Char">
    <w:name w:val="Heading 2 Char"/>
    <w:link w:val="Heading2"/>
    <w:semiHidden/>
    <w:rsid w:val="004422D0"/>
    <w:rPr>
      <w:rFonts w:ascii="Cambria" w:eastAsia="Times New Roman" w:hAnsi="Cambria" w:cs="Times New Roman"/>
      <w:b/>
      <w:bCs/>
      <w:i/>
      <w:iCs/>
      <w:sz w:val="28"/>
      <w:szCs w:val="28"/>
      <w:lang w:eastAsia="el-GR"/>
    </w:rPr>
  </w:style>
  <w:style w:type="character" w:customStyle="1" w:styleId="FooterChar">
    <w:name w:val="Footer Char"/>
    <w:link w:val="Footer"/>
    <w:uiPriority w:val="99"/>
    <w:rsid w:val="00FF00EA"/>
    <w:rPr>
      <w:rFonts w:ascii="Arial" w:hAnsi="Arial"/>
      <w:sz w:val="22"/>
      <w:szCs w:val="22"/>
      <w:lang w:eastAsia="el-GR"/>
    </w:rPr>
  </w:style>
  <w:style w:type="paragraph" w:customStyle="1" w:styleId="Tiretcourt">
    <w:name w:val="Tiret court"/>
    <w:basedOn w:val="Normal"/>
    <w:rsid w:val="00EC63C1"/>
    <w:pPr>
      <w:spacing w:after="120"/>
      <w:jc w:val="both"/>
    </w:pPr>
    <w:rPr>
      <w:rFonts w:ascii="Times New Roman" w:eastAsia="Calibri" w:hAnsi="Times New Roman"/>
    </w:rPr>
  </w:style>
  <w:style w:type="paragraph" w:customStyle="1" w:styleId="ListNumber1">
    <w:name w:val="List Number1"/>
    <w:basedOn w:val="Normal"/>
    <w:rsid w:val="00EC63C1"/>
    <w:pPr>
      <w:jc w:val="both"/>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82914838">
      <w:bodyDiv w:val="1"/>
      <w:marLeft w:val="0"/>
      <w:marRight w:val="0"/>
      <w:marTop w:val="0"/>
      <w:marBottom w:val="0"/>
      <w:divBdr>
        <w:top w:val="none" w:sz="0" w:space="0" w:color="auto"/>
        <w:left w:val="none" w:sz="0" w:space="0" w:color="auto"/>
        <w:bottom w:val="none" w:sz="0" w:space="0" w:color="auto"/>
        <w:right w:val="none" w:sz="0" w:space="0" w:color="auto"/>
      </w:divBdr>
    </w:div>
    <w:div w:id="160319834">
      <w:bodyDiv w:val="1"/>
      <w:marLeft w:val="0"/>
      <w:marRight w:val="0"/>
      <w:marTop w:val="0"/>
      <w:marBottom w:val="0"/>
      <w:divBdr>
        <w:top w:val="none" w:sz="0" w:space="0" w:color="auto"/>
        <w:left w:val="none" w:sz="0" w:space="0" w:color="auto"/>
        <w:bottom w:val="none" w:sz="0" w:space="0" w:color="auto"/>
        <w:right w:val="none" w:sz="0" w:space="0" w:color="auto"/>
      </w:divBdr>
    </w:div>
    <w:div w:id="221334436">
      <w:bodyDiv w:val="1"/>
      <w:marLeft w:val="0"/>
      <w:marRight w:val="0"/>
      <w:marTop w:val="0"/>
      <w:marBottom w:val="0"/>
      <w:divBdr>
        <w:top w:val="none" w:sz="0" w:space="0" w:color="auto"/>
        <w:left w:val="none" w:sz="0" w:space="0" w:color="auto"/>
        <w:bottom w:val="none" w:sz="0" w:space="0" w:color="auto"/>
        <w:right w:val="none" w:sz="0" w:space="0" w:color="auto"/>
      </w:divBdr>
    </w:div>
    <w:div w:id="448865632">
      <w:bodyDiv w:val="1"/>
      <w:marLeft w:val="0"/>
      <w:marRight w:val="0"/>
      <w:marTop w:val="0"/>
      <w:marBottom w:val="0"/>
      <w:divBdr>
        <w:top w:val="none" w:sz="0" w:space="0" w:color="auto"/>
        <w:left w:val="none" w:sz="0" w:space="0" w:color="auto"/>
        <w:bottom w:val="none" w:sz="0" w:space="0" w:color="auto"/>
        <w:right w:val="none" w:sz="0" w:space="0" w:color="auto"/>
      </w:divBdr>
    </w:div>
    <w:div w:id="513421435">
      <w:bodyDiv w:val="1"/>
      <w:marLeft w:val="0"/>
      <w:marRight w:val="0"/>
      <w:marTop w:val="0"/>
      <w:marBottom w:val="0"/>
      <w:divBdr>
        <w:top w:val="none" w:sz="0" w:space="0" w:color="auto"/>
        <w:left w:val="none" w:sz="0" w:space="0" w:color="auto"/>
        <w:bottom w:val="none" w:sz="0" w:space="0" w:color="auto"/>
        <w:right w:val="none" w:sz="0" w:space="0" w:color="auto"/>
      </w:divBdr>
    </w:div>
    <w:div w:id="612326062">
      <w:bodyDiv w:val="1"/>
      <w:marLeft w:val="0"/>
      <w:marRight w:val="0"/>
      <w:marTop w:val="0"/>
      <w:marBottom w:val="0"/>
      <w:divBdr>
        <w:top w:val="none" w:sz="0" w:space="0" w:color="auto"/>
        <w:left w:val="none" w:sz="0" w:space="0" w:color="auto"/>
        <w:bottom w:val="none" w:sz="0" w:space="0" w:color="auto"/>
        <w:right w:val="none" w:sz="0" w:space="0" w:color="auto"/>
      </w:divBdr>
    </w:div>
    <w:div w:id="699818980">
      <w:bodyDiv w:val="1"/>
      <w:marLeft w:val="0"/>
      <w:marRight w:val="0"/>
      <w:marTop w:val="0"/>
      <w:marBottom w:val="0"/>
      <w:divBdr>
        <w:top w:val="none" w:sz="0" w:space="0" w:color="auto"/>
        <w:left w:val="none" w:sz="0" w:space="0" w:color="auto"/>
        <w:bottom w:val="none" w:sz="0" w:space="0" w:color="auto"/>
        <w:right w:val="none" w:sz="0" w:space="0" w:color="auto"/>
      </w:divBdr>
    </w:div>
    <w:div w:id="767388385">
      <w:bodyDiv w:val="1"/>
      <w:marLeft w:val="0"/>
      <w:marRight w:val="0"/>
      <w:marTop w:val="0"/>
      <w:marBottom w:val="0"/>
      <w:divBdr>
        <w:top w:val="none" w:sz="0" w:space="0" w:color="auto"/>
        <w:left w:val="none" w:sz="0" w:space="0" w:color="auto"/>
        <w:bottom w:val="none" w:sz="0" w:space="0" w:color="auto"/>
        <w:right w:val="none" w:sz="0" w:space="0" w:color="auto"/>
      </w:divBdr>
    </w:div>
    <w:div w:id="956986226">
      <w:bodyDiv w:val="1"/>
      <w:marLeft w:val="0"/>
      <w:marRight w:val="0"/>
      <w:marTop w:val="0"/>
      <w:marBottom w:val="0"/>
      <w:divBdr>
        <w:top w:val="none" w:sz="0" w:space="0" w:color="auto"/>
        <w:left w:val="none" w:sz="0" w:space="0" w:color="auto"/>
        <w:bottom w:val="none" w:sz="0" w:space="0" w:color="auto"/>
        <w:right w:val="none" w:sz="0" w:space="0" w:color="auto"/>
      </w:divBdr>
    </w:div>
    <w:div w:id="963268089">
      <w:bodyDiv w:val="1"/>
      <w:marLeft w:val="0"/>
      <w:marRight w:val="0"/>
      <w:marTop w:val="0"/>
      <w:marBottom w:val="0"/>
      <w:divBdr>
        <w:top w:val="none" w:sz="0" w:space="0" w:color="auto"/>
        <w:left w:val="none" w:sz="0" w:space="0" w:color="auto"/>
        <w:bottom w:val="none" w:sz="0" w:space="0" w:color="auto"/>
        <w:right w:val="none" w:sz="0" w:space="0" w:color="auto"/>
      </w:divBdr>
    </w:div>
    <w:div w:id="1207644859">
      <w:bodyDiv w:val="1"/>
      <w:marLeft w:val="0"/>
      <w:marRight w:val="0"/>
      <w:marTop w:val="0"/>
      <w:marBottom w:val="0"/>
      <w:divBdr>
        <w:top w:val="none" w:sz="0" w:space="0" w:color="auto"/>
        <w:left w:val="none" w:sz="0" w:space="0" w:color="auto"/>
        <w:bottom w:val="none" w:sz="0" w:space="0" w:color="auto"/>
        <w:right w:val="none" w:sz="0" w:space="0" w:color="auto"/>
      </w:divBdr>
    </w:div>
    <w:div w:id="1296450556">
      <w:bodyDiv w:val="1"/>
      <w:marLeft w:val="0"/>
      <w:marRight w:val="0"/>
      <w:marTop w:val="0"/>
      <w:marBottom w:val="0"/>
      <w:divBdr>
        <w:top w:val="none" w:sz="0" w:space="0" w:color="auto"/>
        <w:left w:val="none" w:sz="0" w:space="0" w:color="auto"/>
        <w:bottom w:val="none" w:sz="0" w:space="0" w:color="auto"/>
        <w:right w:val="none" w:sz="0" w:space="0" w:color="auto"/>
      </w:divBdr>
    </w:div>
    <w:div w:id="1474829873">
      <w:bodyDiv w:val="1"/>
      <w:marLeft w:val="0"/>
      <w:marRight w:val="0"/>
      <w:marTop w:val="0"/>
      <w:marBottom w:val="0"/>
      <w:divBdr>
        <w:top w:val="none" w:sz="0" w:space="0" w:color="auto"/>
        <w:left w:val="none" w:sz="0" w:space="0" w:color="auto"/>
        <w:bottom w:val="none" w:sz="0" w:space="0" w:color="auto"/>
        <w:right w:val="none" w:sz="0" w:space="0" w:color="auto"/>
      </w:divBdr>
    </w:div>
    <w:div w:id="1615668385">
      <w:bodyDiv w:val="1"/>
      <w:marLeft w:val="0"/>
      <w:marRight w:val="0"/>
      <w:marTop w:val="0"/>
      <w:marBottom w:val="0"/>
      <w:divBdr>
        <w:top w:val="none" w:sz="0" w:space="0" w:color="auto"/>
        <w:left w:val="none" w:sz="0" w:space="0" w:color="auto"/>
        <w:bottom w:val="none" w:sz="0" w:space="0" w:color="auto"/>
        <w:right w:val="none" w:sz="0" w:space="0" w:color="auto"/>
      </w:divBdr>
    </w:div>
    <w:div w:id="1736465102">
      <w:bodyDiv w:val="1"/>
      <w:marLeft w:val="0"/>
      <w:marRight w:val="0"/>
      <w:marTop w:val="0"/>
      <w:marBottom w:val="0"/>
      <w:divBdr>
        <w:top w:val="none" w:sz="0" w:space="0" w:color="auto"/>
        <w:left w:val="none" w:sz="0" w:space="0" w:color="auto"/>
        <w:bottom w:val="none" w:sz="0" w:space="0" w:color="auto"/>
        <w:right w:val="none" w:sz="0" w:space="0" w:color="auto"/>
      </w:divBdr>
    </w:div>
    <w:div w:id="2086491158">
      <w:bodyDiv w:val="1"/>
      <w:marLeft w:val="0"/>
      <w:marRight w:val="0"/>
      <w:marTop w:val="0"/>
      <w:marBottom w:val="0"/>
      <w:divBdr>
        <w:top w:val="none" w:sz="0" w:space="0" w:color="auto"/>
        <w:left w:val="none" w:sz="0" w:space="0" w:color="auto"/>
        <w:bottom w:val="none" w:sz="0" w:space="0" w:color="auto"/>
        <w:right w:val="none" w:sz="0" w:space="0" w:color="auto"/>
      </w:divBdr>
    </w:div>
    <w:div w:id="2092237925">
      <w:bodyDiv w:val="1"/>
      <w:marLeft w:val="0"/>
      <w:marRight w:val="0"/>
      <w:marTop w:val="0"/>
      <w:marBottom w:val="0"/>
      <w:divBdr>
        <w:top w:val="none" w:sz="0" w:space="0" w:color="auto"/>
        <w:left w:val="none" w:sz="0" w:space="0" w:color="auto"/>
        <w:bottom w:val="none" w:sz="0" w:space="0" w:color="auto"/>
        <w:right w:val="none" w:sz="0" w:space="0" w:color="auto"/>
      </w:divBdr>
    </w:div>
    <w:div w:id="2107310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cea.ec.europa.eu/creative-europe/funding/support-training-2016-eacea062016_en" TargetMode="External"/><Relationship Id="rId4" Type="http://schemas.openxmlformats.org/officeDocument/2006/relationships/settings" Target="settings.xml"/><Relationship Id="rId9" Type="http://schemas.openxmlformats.org/officeDocument/2006/relationships/hyperlink" Target="http://eacea.ec.europa.eu/creative-europe/library/eligibility-organisations-non-eu-countries_e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F15D-7DB3-4ED6-966A-654DD5B6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CALL FOR TENDERS – EACEA No</vt:lpstr>
    </vt:vector>
  </TitlesOfParts>
  <Company>Translation Centre</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TENDERS – EACEA No</dc:title>
  <dc:creator>Translation Centre</dc:creator>
  <dc:description>English translation by Euronet</dc:description>
  <cp:lastModifiedBy>gfcuser</cp:lastModifiedBy>
  <cp:revision>2</cp:revision>
  <cp:lastPrinted>2014-09-23T14:19:00Z</cp:lastPrinted>
  <dcterms:created xsi:type="dcterms:W3CDTF">2016-02-09T08:02:00Z</dcterms:created>
  <dcterms:modified xsi:type="dcterms:W3CDTF">2016-02-09T08:02:00Z</dcterms:modified>
</cp:coreProperties>
</file>